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85" w:rsidRPr="00B47233" w:rsidRDefault="0080556D" w:rsidP="00B47233">
      <w:pPr>
        <w:spacing w:beforeLines="70" w:line="360" w:lineRule="exact"/>
        <w:jc w:val="center"/>
        <w:rPr>
          <w:rFonts w:eastAsia="標楷體"/>
          <w:b/>
          <w:sz w:val="48"/>
          <w:szCs w:val="48"/>
        </w:rPr>
      </w:pPr>
      <w:r w:rsidRPr="00B47233">
        <w:rPr>
          <w:rFonts w:eastAsia="標楷體" w:hAnsi="標楷體"/>
          <w:b/>
          <w:sz w:val="48"/>
          <w:szCs w:val="48"/>
        </w:rPr>
        <w:t>長庚醫院</w:t>
      </w:r>
      <w:r w:rsidR="00B47233" w:rsidRPr="00B47233">
        <w:rPr>
          <w:rFonts w:eastAsia="標楷體" w:hAnsi="標楷體" w:hint="eastAsia"/>
          <w:b/>
          <w:sz w:val="48"/>
          <w:szCs w:val="48"/>
        </w:rPr>
        <w:t>非常規</w:t>
      </w:r>
      <w:r w:rsidR="008D50C7" w:rsidRPr="00B47233">
        <w:rPr>
          <w:rFonts w:eastAsia="標楷體" w:hAnsi="標楷體"/>
          <w:b/>
          <w:sz w:val="48"/>
          <w:szCs w:val="48"/>
        </w:rPr>
        <w:t>醫療技術</w:t>
      </w:r>
      <w:r w:rsidR="008D50C7" w:rsidRPr="00B47233">
        <w:rPr>
          <w:rFonts w:eastAsia="標楷體"/>
          <w:b/>
          <w:sz w:val="48"/>
          <w:szCs w:val="48"/>
        </w:rPr>
        <w:t>(</w:t>
      </w:r>
      <w:r w:rsidR="003C0EDF" w:rsidRPr="00B47233">
        <w:rPr>
          <w:rFonts w:eastAsia="標楷體" w:hAnsi="標楷體"/>
          <w:b/>
          <w:sz w:val="48"/>
          <w:szCs w:val="48"/>
        </w:rPr>
        <w:t>恩慈</w:t>
      </w:r>
      <w:r w:rsidR="008D50C7" w:rsidRPr="00B47233">
        <w:rPr>
          <w:rFonts w:eastAsia="標楷體"/>
          <w:b/>
          <w:sz w:val="48"/>
          <w:szCs w:val="48"/>
        </w:rPr>
        <w:t>)</w:t>
      </w:r>
      <w:r w:rsidRPr="00B47233">
        <w:rPr>
          <w:rFonts w:eastAsia="標楷體" w:hAnsi="標楷體"/>
          <w:b/>
          <w:sz w:val="48"/>
          <w:szCs w:val="48"/>
        </w:rPr>
        <w:t>治療計畫書</w:t>
      </w:r>
    </w:p>
    <w:p w:rsidR="003C0EDF" w:rsidRPr="00B47233" w:rsidRDefault="00B47233" w:rsidP="003C0EDF">
      <w:pPr>
        <w:rPr>
          <w:rFonts w:eastAsia="標楷體"/>
          <w:b/>
          <w:sz w:val="28"/>
          <w:szCs w:val="28"/>
        </w:rPr>
      </w:pPr>
      <w:r w:rsidRPr="00B47233">
        <w:rPr>
          <w:rFonts w:eastAsia="標楷體" w:hAnsi="標楷體" w:hint="eastAsia"/>
          <w:b/>
          <w:sz w:val="28"/>
          <w:szCs w:val="28"/>
        </w:rPr>
        <w:t>非常規醫療</w:t>
      </w:r>
      <w:r w:rsidR="008D50C7" w:rsidRPr="00B47233">
        <w:rPr>
          <w:rFonts w:eastAsia="標楷體" w:hAnsi="標楷體"/>
          <w:b/>
          <w:sz w:val="28"/>
          <w:szCs w:val="28"/>
        </w:rPr>
        <w:t>技術</w:t>
      </w:r>
      <w:r w:rsidR="008D50C7" w:rsidRPr="00B47233">
        <w:rPr>
          <w:rFonts w:eastAsia="標楷體"/>
          <w:b/>
          <w:sz w:val="28"/>
          <w:szCs w:val="28"/>
        </w:rPr>
        <w:t>(</w:t>
      </w:r>
      <w:r w:rsidR="008D50C7" w:rsidRPr="00B47233">
        <w:rPr>
          <w:rFonts w:eastAsia="標楷體" w:hAnsi="標楷體"/>
          <w:b/>
          <w:sz w:val="28"/>
          <w:szCs w:val="28"/>
        </w:rPr>
        <w:t>恩慈</w:t>
      </w:r>
      <w:r w:rsidR="008D50C7" w:rsidRPr="00B47233">
        <w:rPr>
          <w:rFonts w:eastAsia="標楷體"/>
          <w:b/>
          <w:sz w:val="28"/>
          <w:szCs w:val="28"/>
        </w:rPr>
        <w:t>)</w:t>
      </w:r>
      <w:r w:rsidR="00994F76" w:rsidRPr="00B47233">
        <w:rPr>
          <w:rFonts w:eastAsia="標楷體" w:hAnsi="標楷體"/>
          <w:b/>
          <w:sz w:val="28"/>
          <w:szCs w:val="28"/>
        </w:rPr>
        <w:t>療法名稱</w:t>
      </w:r>
    </w:p>
    <w:p w:rsidR="003C0EDF" w:rsidRPr="00B47233" w:rsidRDefault="003C0EDF" w:rsidP="003C0EDF">
      <w:pPr>
        <w:rPr>
          <w:rFonts w:eastAsia="標楷體"/>
          <w:b/>
          <w:sz w:val="28"/>
          <w:szCs w:val="28"/>
        </w:rPr>
      </w:pPr>
      <w:r w:rsidRPr="00B47233">
        <w:rPr>
          <w:rFonts w:eastAsia="標楷體" w:hAnsi="標楷體"/>
          <w:b/>
          <w:sz w:val="28"/>
          <w:szCs w:val="28"/>
        </w:rPr>
        <w:t>中文：</w:t>
      </w:r>
    </w:p>
    <w:p w:rsidR="003C0EDF" w:rsidRPr="00B47233" w:rsidRDefault="003C0EDF" w:rsidP="003C0EDF">
      <w:pPr>
        <w:rPr>
          <w:rFonts w:eastAsia="標楷體"/>
          <w:b/>
          <w:sz w:val="28"/>
          <w:szCs w:val="28"/>
        </w:rPr>
      </w:pPr>
      <w:r w:rsidRPr="00B47233">
        <w:rPr>
          <w:rFonts w:eastAsia="標楷體" w:hAnsi="標楷體"/>
          <w:b/>
          <w:sz w:val="28"/>
          <w:szCs w:val="28"/>
        </w:rPr>
        <w:t>英文：</w:t>
      </w:r>
    </w:p>
    <w:p w:rsidR="00D2105D" w:rsidRPr="00B47233" w:rsidRDefault="00D2105D" w:rsidP="00B47233">
      <w:pPr>
        <w:spacing w:beforeLines="70" w:line="360" w:lineRule="exact"/>
        <w:rPr>
          <w:rFonts w:eastAsia="標楷體"/>
          <w:sz w:val="32"/>
        </w:rPr>
      </w:pPr>
      <w:r w:rsidRPr="00B47233">
        <w:rPr>
          <w:rFonts w:eastAsia="標楷體" w:hAnsi="標楷體"/>
          <w:sz w:val="32"/>
        </w:rPr>
        <w:t>一、申請單位：</w:t>
      </w:r>
    </w:p>
    <w:p w:rsidR="00D2105D" w:rsidRPr="00B47233" w:rsidRDefault="00D2105D" w:rsidP="00B47233">
      <w:pPr>
        <w:spacing w:beforeLines="70" w:line="360" w:lineRule="exact"/>
        <w:rPr>
          <w:rFonts w:eastAsia="標楷體"/>
          <w:sz w:val="32"/>
        </w:rPr>
      </w:pPr>
      <w:r w:rsidRPr="00B47233">
        <w:rPr>
          <w:rFonts w:eastAsia="標楷體" w:hAnsi="標楷體"/>
          <w:sz w:val="32"/>
        </w:rPr>
        <w:t>二、申請醫師</w:t>
      </w:r>
      <w:r w:rsidR="0080556D" w:rsidRPr="00B47233">
        <w:rPr>
          <w:rFonts w:eastAsia="標楷體" w:hAnsi="標楷體"/>
          <w:sz w:val="32"/>
        </w:rPr>
        <w:t>：</w:t>
      </w:r>
      <w:r w:rsidR="0080556D" w:rsidRPr="00B47233">
        <w:rPr>
          <w:rFonts w:eastAsia="標楷體"/>
          <w:sz w:val="32"/>
        </w:rPr>
        <w:t xml:space="preserve">          (</w:t>
      </w:r>
      <w:r w:rsidR="0080556D" w:rsidRPr="00B47233">
        <w:rPr>
          <w:rFonts w:eastAsia="標楷體" w:hAnsi="標楷體"/>
          <w:sz w:val="32"/>
        </w:rPr>
        <w:t>簽名</w:t>
      </w:r>
      <w:r w:rsidR="0080556D" w:rsidRPr="00B47233">
        <w:rPr>
          <w:rFonts w:eastAsia="標楷體"/>
          <w:sz w:val="32"/>
        </w:rPr>
        <w:t>)/</w:t>
      </w:r>
      <w:r w:rsidR="0080556D" w:rsidRPr="00B47233">
        <w:rPr>
          <w:rFonts w:eastAsia="標楷體" w:hAnsi="標楷體"/>
          <w:sz w:val="32"/>
        </w:rPr>
        <w:t>日期：</w:t>
      </w:r>
      <w:r w:rsidR="0080556D" w:rsidRPr="00B47233">
        <w:rPr>
          <w:rFonts w:eastAsia="標楷體"/>
          <w:sz w:val="32"/>
        </w:rPr>
        <w:t xml:space="preserve">   </w:t>
      </w:r>
      <w:r w:rsidR="0080556D" w:rsidRPr="00B47233">
        <w:rPr>
          <w:rFonts w:eastAsia="標楷體" w:hAnsi="標楷體"/>
          <w:sz w:val="32"/>
        </w:rPr>
        <w:t>年</w:t>
      </w:r>
      <w:r w:rsidR="0080556D" w:rsidRPr="00B47233">
        <w:rPr>
          <w:rFonts w:eastAsia="標楷體"/>
          <w:sz w:val="32"/>
        </w:rPr>
        <w:t xml:space="preserve">    </w:t>
      </w:r>
      <w:r w:rsidR="0080556D" w:rsidRPr="00B47233">
        <w:rPr>
          <w:rFonts w:eastAsia="標楷體" w:hAnsi="標楷體"/>
          <w:sz w:val="32"/>
        </w:rPr>
        <w:t>月</w:t>
      </w:r>
      <w:r w:rsidR="0080556D" w:rsidRPr="00B47233">
        <w:rPr>
          <w:rFonts w:eastAsia="標楷體"/>
          <w:sz w:val="32"/>
        </w:rPr>
        <w:t xml:space="preserve">   </w:t>
      </w:r>
      <w:r w:rsidR="0080556D" w:rsidRPr="00B47233">
        <w:rPr>
          <w:rFonts w:eastAsia="標楷體" w:hAnsi="標楷體"/>
          <w:sz w:val="32"/>
        </w:rPr>
        <w:t>日</w:t>
      </w:r>
    </w:p>
    <w:p w:rsidR="00D2105D" w:rsidRPr="00B47233" w:rsidRDefault="00D2105D" w:rsidP="00B47233">
      <w:pPr>
        <w:spacing w:beforeLines="70" w:line="360" w:lineRule="exact"/>
        <w:rPr>
          <w:rFonts w:eastAsia="標楷體"/>
          <w:sz w:val="32"/>
        </w:rPr>
      </w:pPr>
      <w:r w:rsidRPr="00B47233">
        <w:rPr>
          <w:rFonts w:eastAsia="標楷體" w:hAnsi="標楷體"/>
          <w:sz w:val="32"/>
        </w:rPr>
        <w:t>三、</w:t>
      </w:r>
      <w:r w:rsidR="005021E7" w:rsidRPr="00B47233">
        <w:rPr>
          <w:rFonts w:eastAsia="標楷體" w:hAnsi="標楷體"/>
          <w:sz w:val="32"/>
        </w:rPr>
        <w:t>申請藥品基本資料</w:t>
      </w:r>
      <w:r w:rsidRPr="00B47233">
        <w:rPr>
          <w:rFonts w:eastAsia="標楷體" w:hAnsi="標楷體"/>
          <w:sz w:val="32"/>
        </w:rPr>
        <w:t>：</w:t>
      </w:r>
    </w:p>
    <w:p w:rsidR="007947BE" w:rsidRPr="00B47233" w:rsidRDefault="003C0EDF" w:rsidP="00B47233">
      <w:pPr>
        <w:pStyle w:val="aa"/>
        <w:numPr>
          <w:ilvl w:val="0"/>
          <w:numId w:val="6"/>
        </w:numPr>
        <w:spacing w:beforeLines="50" w:line="360" w:lineRule="exact"/>
        <w:ind w:leftChars="0" w:left="624"/>
        <w:rPr>
          <w:rFonts w:eastAsia="標楷體"/>
          <w:sz w:val="32"/>
        </w:rPr>
      </w:pPr>
      <w:r w:rsidRPr="00B47233">
        <w:rPr>
          <w:rFonts w:eastAsia="標楷體" w:hAnsi="標楷體"/>
          <w:sz w:val="32"/>
        </w:rPr>
        <w:t>產品名稱</w:t>
      </w:r>
      <w:r w:rsidR="00D2105D" w:rsidRPr="00B47233">
        <w:rPr>
          <w:rFonts w:eastAsia="標楷體" w:hAnsi="標楷體"/>
          <w:sz w:val="32"/>
        </w:rPr>
        <w:t>：</w:t>
      </w:r>
    </w:p>
    <w:p w:rsidR="007947BE" w:rsidRPr="00B47233" w:rsidRDefault="003C0EDF" w:rsidP="00B47233">
      <w:pPr>
        <w:pStyle w:val="aa"/>
        <w:numPr>
          <w:ilvl w:val="0"/>
          <w:numId w:val="6"/>
        </w:numPr>
        <w:spacing w:beforeLines="50" w:line="360" w:lineRule="exact"/>
        <w:ind w:leftChars="0" w:left="624"/>
        <w:rPr>
          <w:rFonts w:eastAsia="標楷體"/>
          <w:sz w:val="32"/>
        </w:rPr>
      </w:pPr>
      <w:r w:rsidRPr="00B47233">
        <w:rPr>
          <w:rFonts w:eastAsia="標楷體" w:hAnsi="標楷體"/>
          <w:sz w:val="32"/>
        </w:rPr>
        <w:t>細胞種類：</w:t>
      </w:r>
    </w:p>
    <w:p w:rsidR="007947BE" w:rsidRPr="00B47233" w:rsidRDefault="003C0EDF" w:rsidP="00B47233">
      <w:pPr>
        <w:pStyle w:val="aa"/>
        <w:numPr>
          <w:ilvl w:val="0"/>
          <w:numId w:val="6"/>
        </w:numPr>
        <w:spacing w:beforeLines="50" w:line="360" w:lineRule="exact"/>
        <w:ind w:leftChars="0" w:left="624"/>
        <w:rPr>
          <w:rFonts w:eastAsia="標楷體"/>
          <w:sz w:val="32"/>
        </w:rPr>
      </w:pPr>
      <w:r w:rsidRPr="00B47233">
        <w:rPr>
          <w:rFonts w:eastAsia="標楷體" w:hAnsi="標楷體"/>
          <w:sz w:val="32"/>
        </w:rPr>
        <w:t>細胞來源：</w:t>
      </w:r>
    </w:p>
    <w:p w:rsidR="007947BE" w:rsidRPr="00B47233" w:rsidRDefault="007947BE" w:rsidP="00B47233">
      <w:pPr>
        <w:pStyle w:val="aa"/>
        <w:numPr>
          <w:ilvl w:val="0"/>
          <w:numId w:val="6"/>
        </w:numPr>
        <w:spacing w:beforeLines="50" w:line="360" w:lineRule="exact"/>
        <w:ind w:leftChars="0" w:left="624"/>
        <w:rPr>
          <w:rFonts w:eastAsia="標楷體"/>
          <w:sz w:val="32"/>
        </w:rPr>
      </w:pPr>
      <w:r w:rsidRPr="00B47233">
        <w:rPr>
          <w:rFonts w:eastAsia="標楷體" w:hAnsi="標楷體"/>
          <w:sz w:val="32"/>
        </w:rPr>
        <w:t>劑量</w:t>
      </w:r>
      <w:r w:rsidRPr="00B47233">
        <w:rPr>
          <w:rFonts w:eastAsia="標楷體"/>
          <w:sz w:val="32"/>
        </w:rPr>
        <w:t>(</w:t>
      </w:r>
      <w:r w:rsidRPr="00B47233">
        <w:rPr>
          <w:rFonts w:eastAsia="標楷體" w:hAnsi="標楷體"/>
          <w:sz w:val="32"/>
        </w:rPr>
        <w:t>細胞數</w:t>
      </w:r>
      <w:r w:rsidRPr="00B47233">
        <w:rPr>
          <w:rFonts w:eastAsia="標楷體"/>
          <w:sz w:val="32"/>
        </w:rPr>
        <w:t>)</w:t>
      </w:r>
      <w:r w:rsidRPr="00B47233">
        <w:rPr>
          <w:rFonts w:eastAsia="標楷體" w:hAnsi="標楷體"/>
          <w:sz w:val="32"/>
        </w:rPr>
        <w:t>：</w:t>
      </w:r>
    </w:p>
    <w:p w:rsidR="007947BE" w:rsidRPr="00B47233" w:rsidRDefault="007947BE" w:rsidP="00B47233">
      <w:pPr>
        <w:pStyle w:val="aa"/>
        <w:numPr>
          <w:ilvl w:val="0"/>
          <w:numId w:val="6"/>
        </w:numPr>
        <w:spacing w:beforeLines="50" w:line="360" w:lineRule="exact"/>
        <w:ind w:leftChars="0" w:left="624"/>
        <w:rPr>
          <w:rFonts w:eastAsia="標楷體"/>
          <w:sz w:val="32"/>
        </w:rPr>
      </w:pPr>
      <w:r w:rsidRPr="00B47233">
        <w:rPr>
          <w:rFonts w:eastAsia="標楷體" w:hAnsi="標楷體"/>
          <w:sz w:val="32"/>
        </w:rPr>
        <w:t>用法</w:t>
      </w:r>
    </w:p>
    <w:p w:rsidR="007947BE" w:rsidRPr="00B47233" w:rsidRDefault="007947BE" w:rsidP="00B47233">
      <w:pPr>
        <w:spacing w:beforeLines="50" w:line="360" w:lineRule="exact"/>
        <w:ind w:leftChars="100" w:left="240"/>
        <w:rPr>
          <w:rFonts w:eastAsia="標楷體"/>
          <w:sz w:val="32"/>
        </w:rPr>
      </w:pPr>
      <w:r w:rsidRPr="00B47233">
        <w:rPr>
          <w:rFonts w:eastAsia="標楷體"/>
          <w:sz w:val="32"/>
        </w:rPr>
        <w:t>(1)</w:t>
      </w:r>
      <w:r w:rsidRPr="00B47233">
        <w:rPr>
          <w:rFonts w:eastAsia="標楷體" w:hAnsi="標楷體"/>
          <w:sz w:val="32"/>
        </w:rPr>
        <w:t>給藥方式</w:t>
      </w:r>
      <w:r w:rsidRPr="00B47233">
        <w:rPr>
          <w:rFonts w:eastAsia="標楷體"/>
          <w:sz w:val="32"/>
        </w:rPr>
        <w:t>(</w:t>
      </w:r>
      <w:r w:rsidRPr="00B47233">
        <w:rPr>
          <w:rFonts w:eastAsia="標楷體" w:hAnsi="標楷體"/>
          <w:sz w:val="32"/>
        </w:rPr>
        <w:t>使用途徑</w:t>
      </w:r>
      <w:r w:rsidRPr="00B47233">
        <w:rPr>
          <w:rFonts w:eastAsia="標楷體"/>
          <w:sz w:val="32"/>
        </w:rPr>
        <w:t>)</w:t>
      </w:r>
      <w:r w:rsidRPr="00B47233">
        <w:rPr>
          <w:rFonts w:eastAsia="標楷體" w:hAnsi="標楷體"/>
          <w:sz w:val="32"/>
        </w:rPr>
        <w:t>：</w:t>
      </w:r>
    </w:p>
    <w:p w:rsidR="007947BE" w:rsidRPr="00B47233" w:rsidRDefault="007947BE" w:rsidP="00B47233">
      <w:pPr>
        <w:spacing w:beforeLines="50" w:line="360" w:lineRule="exact"/>
        <w:ind w:leftChars="100" w:left="240"/>
        <w:rPr>
          <w:rFonts w:eastAsia="標楷體"/>
          <w:sz w:val="32"/>
        </w:rPr>
      </w:pPr>
      <w:r w:rsidRPr="00B47233">
        <w:rPr>
          <w:rFonts w:eastAsia="標楷體"/>
          <w:sz w:val="32"/>
        </w:rPr>
        <w:t>(2)</w:t>
      </w:r>
      <w:r w:rsidRPr="00B47233">
        <w:rPr>
          <w:rFonts w:eastAsia="標楷體" w:hAnsi="標楷體"/>
          <w:sz w:val="32"/>
        </w:rPr>
        <w:t>治療週期</w:t>
      </w:r>
      <w:r w:rsidRPr="00B47233">
        <w:rPr>
          <w:rFonts w:eastAsia="標楷體"/>
          <w:sz w:val="32"/>
        </w:rPr>
        <w:t>(</w:t>
      </w:r>
      <w:r w:rsidRPr="00B47233">
        <w:rPr>
          <w:rFonts w:eastAsia="標楷體" w:hAnsi="標楷體"/>
          <w:sz w:val="32"/>
        </w:rPr>
        <w:t>頻次</w:t>
      </w:r>
      <w:r w:rsidRPr="00B47233">
        <w:rPr>
          <w:rFonts w:eastAsia="標楷體"/>
          <w:sz w:val="32"/>
        </w:rPr>
        <w:t>)</w:t>
      </w:r>
      <w:r w:rsidRPr="00B47233">
        <w:rPr>
          <w:rFonts w:eastAsia="標楷體" w:hAnsi="標楷體"/>
          <w:sz w:val="32"/>
        </w:rPr>
        <w:t>：</w:t>
      </w:r>
    </w:p>
    <w:p w:rsidR="007947BE" w:rsidRPr="00B47233" w:rsidRDefault="007947BE" w:rsidP="00B47233">
      <w:pPr>
        <w:pStyle w:val="aa"/>
        <w:numPr>
          <w:ilvl w:val="0"/>
          <w:numId w:val="6"/>
        </w:numPr>
        <w:spacing w:beforeLines="50" w:line="360" w:lineRule="exact"/>
        <w:ind w:leftChars="0" w:left="624"/>
        <w:rPr>
          <w:rFonts w:eastAsia="標楷體"/>
          <w:sz w:val="32"/>
        </w:rPr>
      </w:pPr>
      <w:r w:rsidRPr="00B47233">
        <w:rPr>
          <w:rFonts w:eastAsia="標楷體" w:hAnsi="標楷體"/>
          <w:sz w:val="32"/>
        </w:rPr>
        <w:t>細胞製備場所</w:t>
      </w:r>
    </w:p>
    <w:p w:rsidR="007947BE" w:rsidRPr="00B47233" w:rsidRDefault="007947BE" w:rsidP="00B47233">
      <w:pPr>
        <w:spacing w:beforeLines="50" w:line="360" w:lineRule="exact"/>
        <w:ind w:leftChars="100" w:left="240"/>
        <w:rPr>
          <w:rFonts w:eastAsia="標楷體"/>
          <w:sz w:val="32"/>
        </w:rPr>
      </w:pPr>
      <w:r w:rsidRPr="00B47233">
        <w:rPr>
          <w:rFonts w:eastAsia="標楷體"/>
          <w:sz w:val="32"/>
        </w:rPr>
        <w:t>(1)</w:t>
      </w:r>
      <w:r w:rsidRPr="00B47233">
        <w:rPr>
          <w:rFonts w:eastAsia="標楷體" w:hAnsi="標楷體"/>
          <w:sz w:val="32"/>
        </w:rPr>
        <w:t>所屬機構名稱：</w:t>
      </w:r>
    </w:p>
    <w:p w:rsidR="007947BE" w:rsidRPr="00B47233" w:rsidRDefault="007947BE" w:rsidP="00B47233">
      <w:pPr>
        <w:spacing w:beforeLines="50" w:line="360" w:lineRule="exact"/>
        <w:ind w:leftChars="100" w:left="240"/>
        <w:rPr>
          <w:rFonts w:eastAsia="標楷體"/>
          <w:sz w:val="32"/>
        </w:rPr>
      </w:pPr>
      <w:r w:rsidRPr="00B47233">
        <w:rPr>
          <w:rFonts w:eastAsia="標楷體"/>
          <w:sz w:val="32"/>
        </w:rPr>
        <w:t>(2)</w:t>
      </w:r>
      <w:r w:rsidRPr="00B47233">
        <w:rPr>
          <w:rFonts w:eastAsia="標楷體" w:hAnsi="標楷體"/>
          <w:sz w:val="32"/>
        </w:rPr>
        <w:t>負責人姓名：</w:t>
      </w:r>
    </w:p>
    <w:p w:rsidR="007947BE" w:rsidRPr="00B47233" w:rsidRDefault="007947BE" w:rsidP="00B47233">
      <w:pPr>
        <w:spacing w:beforeLines="50" w:line="360" w:lineRule="exact"/>
        <w:ind w:leftChars="100" w:left="240"/>
        <w:rPr>
          <w:rFonts w:eastAsia="標楷體"/>
          <w:sz w:val="32"/>
        </w:rPr>
      </w:pPr>
      <w:r w:rsidRPr="00B47233">
        <w:rPr>
          <w:rFonts w:eastAsia="標楷體"/>
          <w:sz w:val="32"/>
        </w:rPr>
        <w:t>(3)</w:t>
      </w:r>
      <w:r w:rsidRPr="00B47233">
        <w:rPr>
          <w:rFonts w:eastAsia="標楷體" w:hAnsi="標楷體"/>
          <w:sz w:val="32"/>
        </w:rPr>
        <w:t>細胞製備場所地址：</w:t>
      </w:r>
    </w:p>
    <w:p w:rsidR="007947BE" w:rsidRPr="00B47233" w:rsidRDefault="007947BE" w:rsidP="00B47233">
      <w:pPr>
        <w:spacing w:beforeLines="50" w:line="360" w:lineRule="exact"/>
        <w:ind w:leftChars="100" w:left="240"/>
        <w:rPr>
          <w:rFonts w:eastAsia="標楷體"/>
          <w:sz w:val="32"/>
        </w:rPr>
      </w:pPr>
      <w:r w:rsidRPr="00B47233">
        <w:rPr>
          <w:rFonts w:eastAsia="標楷體"/>
          <w:sz w:val="32"/>
        </w:rPr>
        <w:t>(4)</w:t>
      </w:r>
      <w:r w:rsidRPr="00B47233">
        <w:rPr>
          <w:rFonts w:eastAsia="標楷體" w:hAnsi="標楷體"/>
          <w:sz w:val="32"/>
        </w:rPr>
        <w:t>聯絡人姓名</w:t>
      </w:r>
      <w:r w:rsidRPr="00B47233">
        <w:rPr>
          <w:rFonts w:eastAsia="標楷體"/>
          <w:sz w:val="32"/>
        </w:rPr>
        <w:t>/</w:t>
      </w:r>
      <w:r w:rsidRPr="00B47233">
        <w:rPr>
          <w:rFonts w:eastAsia="標楷體" w:hAnsi="標楷體"/>
          <w:sz w:val="32"/>
        </w:rPr>
        <w:t>職稱</w:t>
      </w:r>
      <w:r w:rsidRPr="00B47233">
        <w:rPr>
          <w:rFonts w:eastAsia="標楷體"/>
          <w:sz w:val="32"/>
        </w:rPr>
        <w:t>/</w:t>
      </w:r>
      <w:r w:rsidRPr="00B47233">
        <w:rPr>
          <w:rFonts w:eastAsia="標楷體" w:hAnsi="標楷體"/>
          <w:sz w:val="32"/>
        </w:rPr>
        <w:t>電話：</w:t>
      </w:r>
    </w:p>
    <w:p w:rsidR="007947BE" w:rsidRPr="00B47233" w:rsidRDefault="007947BE" w:rsidP="00B47233">
      <w:pPr>
        <w:pStyle w:val="aa"/>
        <w:numPr>
          <w:ilvl w:val="0"/>
          <w:numId w:val="6"/>
        </w:numPr>
        <w:spacing w:beforeLines="50" w:line="360" w:lineRule="exact"/>
        <w:ind w:leftChars="0" w:left="624"/>
        <w:rPr>
          <w:rFonts w:eastAsia="標楷體"/>
          <w:sz w:val="32"/>
        </w:rPr>
      </w:pPr>
      <w:r w:rsidRPr="00B47233">
        <w:rPr>
          <w:rFonts w:eastAsia="標楷體" w:hAnsi="標楷體"/>
          <w:sz w:val="32"/>
        </w:rPr>
        <w:t>委託廠商：</w:t>
      </w:r>
    </w:p>
    <w:p w:rsidR="00994F76" w:rsidRPr="00B47233" w:rsidRDefault="00D2105D" w:rsidP="00B47233">
      <w:pPr>
        <w:spacing w:beforeLines="70" w:line="360" w:lineRule="exact"/>
        <w:rPr>
          <w:rFonts w:eastAsia="標楷體"/>
          <w:sz w:val="32"/>
        </w:rPr>
      </w:pPr>
      <w:r w:rsidRPr="00B47233">
        <w:rPr>
          <w:rFonts w:eastAsia="標楷體" w:hAnsi="標楷體"/>
          <w:sz w:val="32"/>
        </w:rPr>
        <w:t>四、</w:t>
      </w:r>
      <w:r w:rsidR="007709DA" w:rsidRPr="00B47233">
        <w:rPr>
          <w:rFonts w:eastAsia="標楷體" w:hAnsi="標楷體"/>
          <w:sz w:val="32"/>
        </w:rPr>
        <w:t>技術</w:t>
      </w:r>
      <w:r w:rsidR="005021E7" w:rsidRPr="00B47233">
        <w:rPr>
          <w:rFonts w:eastAsia="標楷體" w:hAnsi="標楷體"/>
          <w:sz w:val="32"/>
        </w:rPr>
        <w:t>付費方式：</w:t>
      </w:r>
      <w:r w:rsidR="005021E7" w:rsidRPr="00B47233">
        <w:rPr>
          <w:rFonts w:eastAsia="標楷體"/>
          <w:sz w:val="32"/>
        </w:rPr>
        <w:t xml:space="preserve"> </w:t>
      </w:r>
    </w:p>
    <w:p w:rsidR="00994F76" w:rsidRPr="00B47233" w:rsidRDefault="00994F76" w:rsidP="00B47233">
      <w:pPr>
        <w:spacing w:beforeLines="70" w:line="360" w:lineRule="exact"/>
        <w:rPr>
          <w:rFonts w:eastAsia="標楷體"/>
          <w:sz w:val="32"/>
        </w:rPr>
      </w:pPr>
      <w:r w:rsidRPr="00B47233">
        <w:rPr>
          <w:rFonts w:ascii="標楷體" w:eastAsia="標楷體" w:hAnsi="標楷體"/>
          <w:sz w:val="32"/>
        </w:rPr>
        <w:t>□</w:t>
      </w:r>
      <w:r w:rsidRPr="00B47233">
        <w:rPr>
          <w:rFonts w:eastAsia="標楷體" w:hAnsi="標楷體"/>
          <w:sz w:val="32"/>
        </w:rPr>
        <w:t>自費使用，負擔金額約</w:t>
      </w:r>
      <w:r w:rsidRPr="00B47233">
        <w:rPr>
          <w:rFonts w:eastAsia="標楷體"/>
          <w:sz w:val="32"/>
          <w:u w:val="single"/>
        </w:rPr>
        <w:t xml:space="preserve">         </w:t>
      </w:r>
      <w:r w:rsidRPr="00B47233">
        <w:rPr>
          <w:rFonts w:eastAsia="標楷體" w:hAnsi="標楷體"/>
          <w:sz w:val="32"/>
        </w:rPr>
        <w:t>，惟預定療程仍可能因後續之病情變化或治療效果而有所調整。如須再次施行相同療程、或後續進行其他治療時，費用將另行採計。</w:t>
      </w:r>
    </w:p>
    <w:p w:rsidR="00994F76" w:rsidRPr="00B47233" w:rsidRDefault="00994F76" w:rsidP="00B47233">
      <w:pPr>
        <w:spacing w:beforeLines="70" w:line="360" w:lineRule="exact"/>
        <w:rPr>
          <w:rFonts w:eastAsia="標楷體"/>
          <w:sz w:val="32"/>
        </w:rPr>
      </w:pPr>
      <w:r w:rsidRPr="00B47233">
        <w:rPr>
          <w:rFonts w:ascii="標楷體" w:eastAsia="標楷體" w:hAnsi="標楷體"/>
          <w:sz w:val="32"/>
        </w:rPr>
        <w:t>□</w:t>
      </w:r>
      <w:r w:rsidRPr="00B47233">
        <w:rPr>
          <w:rFonts w:eastAsia="標楷體" w:hAnsi="標楷體"/>
          <w:sz w:val="32"/>
        </w:rPr>
        <w:t>本治療由</w:t>
      </w:r>
      <w:r w:rsidRPr="00B47233">
        <w:rPr>
          <w:rFonts w:eastAsia="標楷體"/>
          <w:sz w:val="32"/>
          <w:u w:val="single"/>
        </w:rPr>
        <w:t xml:space="preserve">          </w:t>
      </w:r>
      <w:r w:rsidRPr="00B47233">
        <w:rPr>
          <w:rFonts w:eastAsia="標楷體" w:hAnsi="標楷體"/>
          <w:sz w:val="32"/>
        </w:rPr>
        <w:t>【廠商全名】免費提供使用，</w:t>
      </w:r>
    </w:p>
    <w:p w:rsidR="00994F76" w:rsidRPr="00B47233" w:rsidRDefault="00994F76" w:rsidP="00B47233">
      <w:pPr>
        <w:spacing w:beforeLines="70" w:line="360" w:lineRule="exact"/>
        <w:ind w:leftChars="100" w:left="240"/>
        <w:rPr>
          <w:rFonts w:eastAsia="標楷體"/>
          <w:sz w:val="32"/>
        </w:rPr>
      </w:pPr>
      <w:r w:rsidRPr="00B47233">
        <w:rPr>
          <w:rFonts w:eastAsia="標楷體" w:hAnsi="標楷體"/>
          <w:sz w:val="32"/>
        </w:rPr>
        <w:lastRenderedPageBreak/>
        <w:t>若日後無法免費提供時</w:t>
      </w:r>
    </w:p>
    <w:p w:rsidR="00994F76" w:rsidRPr="00B47233" w:rsidRDefault="00994F76" w:rsidP="00B47233">
      <w:pPr>
        <w:spacing w:beforeLines="70" w:line="360" w:lineRule="exact"/>
        <w:ind w:leftChars="200" w:left="480"/>
        <w:rPr>
          <w:rFonts w:eastAsia="標楷體"/>
          <w:sz w:val="32"/>
        </w:rPr>
      </w:pPr>
      <w:r w:rsidRPr="00B47233">
        <w:rPr>
          <w:rFonts w:ascii="標楷體" w:eastAsia="標楷體" w:hAnsi="標楷體"/>
          <w:sz w:val="32"/>
        </w:rPr>
        <w:t>□</w:t>
      </w:r>
      <w:r w:rsidRPr="00B47233">
        <w:rPr>
          <w:rFonts w:eastAsia="標楷體" w:hAnsi="標楷體"/>
          <w:sz w:val="32"/>
        </w:rPr>
        <w:t>以優惠價格提供</w:t>
      </w:r>
    </w:p>
    <w:p w:rsidR="00994F76" w:rsidRPr="00B47233" w:rsidRDefault="00994F76" w:rsidP="00B47233">
      <w:pPr>
        <w:spacing w:beforeLines="70" w:line="360" w:lineRule="exact"/>
        <w:ind w:leftChars="200" w:left="480"/>
        <w:rPr>
          <w:rFonts w:eastAsia="標楷體"/>
          <w:sz w:val="32"/>
        </w:rPr>
      </w:pPr>
      <w:r w:rsidRPr="00B47233">
        <w:rPr>
          <w:rFonts w:ascii="標楷體" w:eastAsia="標楷體" w:hAnsi="標楷體"/>
          <w:sz w:val="32"/>
        </w:rPr>
        <w:t>□</w:t>
      </w:r>
      <w:r w:rsidRPr="00B47233">
        <w:rPr>
          <w:rFonts w:eastAsia="標楷體" w:hAnsi="標楷體"/>
          <w:sz w:val="32"/>
        </w:rPr>
        <w:t>依健保規定辦理</w:t>
      </w:r>
    </w:p>
    <w:p w:rsidR="00994F76" w:rsidRPr="00B47233" w:rsidRDefault="00911DFB" w:rsidP="00B47233">
      <w:pPr>
        <w:spacing w:beforeLines="70" w:line="360" w:lineRule="exact"/>
        <w:ind w:leftChars="200" w:left="480"/>
        <w:rPr>
          <w:rFonts w:eastAsia="標楷體"/>
          <w:sz w:val="32"/>
        </w:rPr>
      </w:pPr>
      <w:r w:rsidRPr="00B47233">
        <w:rPr>
          <w:rFonts w:ascii="標楷體" w:eastAsia="標楷體" w:hAnsi="標楷體"/>
          <w:sz w:val="32"/>
        </w:rPr>
        <w:t>□</w:t>
      </w:r>
      <w:r w:rsidR="00994F76" w:rsidRPr="00B47233">
        <w:rPr>
          <w:rFonts w:eastAsia="標楷體" w:hAnsi="標楷體"/>
          <w:sz w:val="32"/>
        </w:rPr>
        <w:t>其他方式：</w:t>
      </w:r>
    </w:p>
    <w:p w:rsidR="00994F76" w:rsidRPr="00B47233" w:rsidRDefault="00911DFB" w:rsidP="00B47233">
      <w:pPr>
        <w:spacing w:beforeLines="70" w:line="360" w:lineRule="exact"/>
        <w:rPr>
          <w:rFonts w:eastAsia="標楷體"/>
          <w:sz w:val="32"/>
        </w:rPr>
      </w:pPr>
      <w:r w:rsidRPr="00B47233">
        <w:rPr>
          <w:rFonts w:ascii="標楷體" w:eastAsia="標楷體" w:hAnsi="標楷體"/>
          <w:sz w:val="32"/>
        </w:rPr>
        <w:t>□</w:t>
      </w:r>
      <w:r w:rsidR="00994F76" w:rsidRPr="00B47233">
        <w:rPr>
          <w:rFonts w:eastAsia="標楷體" w:hAnsi="標楷體"/>
          <w:sz w:val="32"/>
        </w:rPr>
        <w:t>其他付費方式：</w:t>
      </w:r>
      <w:r w:rsidR="00994F76" w:rsidRPr="00B47233">
        <w:rPr>
          <w:rFonts w:eastAsia="標楷體"/>
          <w:sz w:val="32"/>
          <w:u w:val="single"/>
        </w:rPr>
        <w:t xml:space="preserve">                   </w:t>
      </w:r>
    </w:p>
    <w:p w:rsidR="00D2105D" w:rsidRPr="00B47233" w:rsidRDefault="00D2105D" w:rsidP="00B47233">
      <w:pPr>
        <w:spacing w:beforeLines="70" w:line="360" w:lineRule="exact"/>
        <w:rPr>
          <w:rFonts w:eastAsia="標楷體"/>
          <w:sz w:val="32"/>
        </w:rPr>
      </w:pPr>
      <w:r w:rsidRPr="00B47233">
        <w:rPr>
          <w:rFonts w:eastAsia="標楷體" w:hAnsi="標楷體"/>
          <w:sz w:val="32"/>
        </w:rPr>
        <w:t>五、使用</w:t>
      </w:r>
      <w:r w:rsidR="005021E7" w:rsidRPr="00B47233">
        <w:rPr>
          <w:rFonts w:eastAsia="標楷體" w:hAnsi="標楷體"/>
          <w:sz w:val="32"/>
        </w:rPr>
        <w:t>病患</w:t>
      </w:r>
      <w:r w:rsidRPr="00B47233">
        <w:rPr>
          <w:rFonts w:eastAsia="標楷體" w:hAnsi="標楷體"/>
          <w:sz w:val="32"/>
        </w:rPr>
        <w:t>姓名</w:t>
      </w:r>
      <w:r w:rsidRPr="00B47233">
        <w:rPr>
          <w:rFonts w:eastAsia="標楷體"/>
          <w:sz w:val="32"/>
        </w:rPr>
        <w:t>(</w:t>
      </w:r>
      <w:r w:rsidRPr="00B47233">
        <w:rPr>
          <w:rFonts w:eastAsia="標楷體" w:hAnsi="標楷體"/>
          <w:sz w:val="32"/>
        </w:rPr>
        <w:t>含病歷號</w:t>
      </w:r>
      <w:r w:rsidRPr="00B47233">
        <w:rPr>
          <w:rFonts w:eastAsia="標楷體"/>
          <w:sz w:val="32"/>
        </w:rPr>
        <w:t>)</w:t>
      </w:r>
      <w:r w:rsidRPr="00B47233">
        <w:rPr>
          <w:rFonts w:eastAsia="標楷體" w:hAnsi="標楷體"/>
          <w:sz w:val="32"/>
        </w:rPr>
        <w:t>：</w:t>
      </w:r>
      <w:r w:rsidRPr="00B47233">
        <w:rPr>
          <w:rFonts w:eastAsia="標楷體"/>
          <w:sz w:val="32"/>
        </w:rPr>
        <w:t xml:space="preserve">                 </w:t>
      </w:r>
      <w:r w:rsidRPr="00B47233">
        <w:rPr>
          <w:rFonts w:eastAsia="標楷體" w:hAnsi="標楷體"/>
          <w:sz w:val="32"/>
        </w:rPr>
        <w:t>共</w:t>
      </w:r>
      <w:r w:rsidRPr="00B47233">
        <w:rPr>
          <w:rFonts w:eastAsia="標楷體"/>
          <w:sz w:val="32"/>
        </w:rPr>
        <w:t xml:space="preserve">     </w:t>
      </w:r>
      <w:r w:rsidRPr="00B47233">
        <w:rPr>
          <w:rFonts w:eastAsia="標楷體" w:hAnsi="標楷體"/>
          <w:sz w:val="32"/>
        </w:rPr>
        <w:t>人</w:t>
      </w:r>
    </w:p>
    <w:p w:rsidR="00D2105D" w:rsidRPr="00B47233" w:rsidRDefault="005021E7" w:rsidP="00B47233">
      <w:pPr>
        <w:spacing w:beforeLines="70" w:line="360" w:lineRule="exact"/>
        <w:rPr>
          <w:rFonts w:eastAsia="標楷體"/>
          <w:sz w:val="32"/>
        </w:rPr>
      </w:pPr>
      <w:r w:rsidRPr="00B47233">
        <w:rPr>
          <w:rFonts w:eastAsia="標楷體" w:hAnsi="標楷體"/>
          <w:sz w:val="32"/>
        </w:rPr>
        <w:t>六</w:t>
      </w:r>
      <w:r w:rsidR="00D2105D" w:rsidRPr="00B47233">
        <w:rPr>
          <w:rFonts w:eastAsia="標楷體" w:hAnsi="標楷體"/>
          <w:sz w:val="32"/>
        </w:rPr>
        <w:t>、治療疾病名稱：</w:t>
      </w:r>
    </w:p>
    <w:p w:rsidR="00833E98" w:rsidRPr="00B47233" w:rsidRDefault="00833E98" w:rsidP="00B47233">
      <w:pPr>
        <w:spacing w:beforeLines="70" w:line="360" w:lineRule="exact"/>
        <w:rPr>
          <w:rFonts w:eastAsia="標楷體" w:hAnsi="標楷體"/>
          <w:sz w:val="32"/>
        </w:rPr>
      </w:pPr>
      <w:r w:rsidRPr="00B47233">
        <w:rPr>
          <w:rFonts w:eastAsia="標楷體" w:hint="eastAsia"/>
          <w:sz w:val="32"/>
        </w:rPr>
        <w:t>七、執行期間：</w:t>
      </w:r>
      <w:r w:rsidRPr="00B47233">
        <w:rPr>
          <w:rFonts w:eastAsia="標楷體" w:hint="eastAsia"/>
          <w:sz w:val="32"/>
        </w:rPr>
        <w:t xml:space="preserve">  </w:t>
      </w:r>
      <w:r w:rsidRPr="00B47233">
        <w:rPr>
          <w:rFonts w:eastAsia="標楷體"/>
          <w:sz w:val="32"/>
        </w:rPr>
        <w:t>年</w:t>
      </w:r>
      <w:r w:rsidRPr="00B47233">
        <w:rPr>
          <w:rFonts w:eastAsia="標楷體" w:hint="eastAsia"/>
          <w:sz w:val="32"/>
        </w:rPr>
        <w:t xml:space="preserve">  </w:t>
      </w:r>
      <w:r w:rsidRPr="00B47233">
        <w:rPr>
          <w:rFonts w:eastAsia="標楷體"/>
          <w:sz w:val="32"/>
        </w:rPr>
        <w:t>月</w:t>
      </w:r>
      <w:r w:rsidRPr="00B47233">
        <w:rPr>
          <w:rFonts w:eastAsia="標楷體" w:hint="eastAsia"/>
          <w:sz w:val="32"/>
        </w:rPr>
        <w:t xml:space="preserve">  </w:t>
      </w:r>
      <w:r w:rsidRPr="00B47233">
        <w:rPr>
          <w:rFonts w:eastAsia="標楷體"/>
          <w:sz w:val="32"/>
        </w:rPr>
        <w:t>日至</w:t>
      </w:r>
      <w:r w:rsidRPr="00B47233">
        <w:rPr>
          <w:rFonts w:eastAsia="標楷體" w:hint="eastAsia"/>
          <w:sz w:val="32"/>
        </w:rPr>
        <w:t xml:space="preserve">  </w:t>
      </w:r>
      <w:r w:rsidRPr="00B47233">
        <w:rPr>
          <w:rFonts w:eastAsia="標楷體"/>
          <w:sz w:val="32"/>
        </w:rPr>
        <w:t>年</w:t>
      </w:r>
      <w:r w:rsidRPr="00B47233">
        <w:rPr>
          <w:rFonts w:eastAsia="標楷體" w:hint="eastAsia"/>
          <w:sz w:val="32"/>
        </w:rPr>
        <w:t xml:space="preserve">  </w:t>
      </w:r>
      <w:r w:rsidRPr="00B47233">
        <w:rPr>
          <w:rFonts w:eastAsia="標楷體"/>
          <w:sz w:val="32"/>
        </w:rPr>
        <w:t>月</w:t>
      </w:r>
      <w:r w:rsidRPr="00B47233">
        <w:rPr>
          <w:rFonts w:eastAsia="標楷體" w:hint="eastAsia"/>
          <w:sz w:val="32"/>
        </w:rPr>
        <w:t xml:space="preserve">  </w:t>
      </w:r>
      <w:r w:rsidRPr="00B47233">
        <w:rPr>
          <w:rFonts w:eastAsia="標楷體"/>
          <w:sz w:val="32"/>
        </w:rPr>
        <w:t>日</w:t>
      </w:r>
    </w:p>
    <w:p w:rsidR="007947BE" w:rsidRPr="00B47233" w:rsidRDefault="00833E98" w:rsidP="00B47233">
      <w:pPr>
        <w:spacing w:beforeLines="70" w:line="360" w:lineRule="exact"/>
        <w:rPr>
          <w:rFonts w:eastAsia="標楷體"/>
          <w:sz w:val="32"/>
        </w:rPr>
      </w:pPr>
      <w:r w:rsidRPr="00B47233">
        <w:rPr>
          <w:rFonts w:eastAsia="標楷體" w:hAnsi="標楷體" w:hint="eastAsia"/>
          <w:sz w:val="32"/>
        </w:rPr>
        <w:t>八</w:t>
      </w:r>
      <w:r w:rsidR="00D2105D" w:rsidRPr="00B47233">
        <w:rPr>
          <w:rFonts w:eastAsia="標楷體" w:hAnsi="標楷體"/>
          <w:sz w:val="32"/>
        </w:rPr>
        <w:t>、</w:t>
      </w:r>
      <w:r w:rsidR="007947BE" w:rsidRPr="00B47233">
        <w:rPr>
          <w:rFonts w:eastAsia="標楷體" w:hAnsi="標楷體"/>
          <w:sz w:val="32"/>
        </w:rPr>
        <w:t>評估病人符合此治療之條件及方式：</w:t>
      </w:r>
    </w:p>
    <w:p w:rsidR="00D2105D" w:rsidRPr="00B47233" w:rsidRDefault="00833E98" w:rsidP="00B47233">
      <w:pPr>
        <w:spacing w:beforeLines="70" w:line="360" w:lineRule="exact"/>
        <w:rPr>
          <w:rFonts w:eastAsia="標楷體"/>
          <w:sz w:val="32"/>
        </w:rPr>
      </w:pPr>
      <w:r w:rsidRPr="00B47233">
        <w:rPr>
          <w:rFonts w:eastAsia="標楷體" w:hAnsi="標楷體" w:hint="eastAsia"/>
          <w:sz w:val="32"/>
        </w:rPr>
        <w:t>九</w:t>
      </w:r>
      <w:r w:rsidR="007947BE" w:rsidRPr="00B47233">
        <w:rPr>
          <w:rFonts w:eastAsia="標楷體" w:hAnsi="標楷體"/>
          <w:sz w:val="32"/>
        </w:rPr>
        <w:t>、其他可能之治療方法及其說明</w:t>
      </w:r>
    </w:p>
    <w:p w:rsidR="007947BE" w:rsidRPr="00B47233" w:rsidRDefault="00D2105D" w:rsidP="00B47233">
      <w:pPr>
        <w:pStyle w:val="aa"/>
        <w:numPr>
          <w:ilvl w:val="0"/>
          <w:numId w:val="8"/>
        </w:numPr>
        <w:spacing w:beforeLines="50" w:line="360" w:lineRule="exact"/>
        <w:ind w:leftChars="0" w:left="624"/>
        <w:rPr>
          <w:rFonts w:eastAsia="標楷體"/>
          <w:sz w:val="32"/>
        </w:rPr>
      </w:pPr>
      <w:r w:rsidRPr="00B47233">
        <w:rPr>
          <w:rFonts w:eastAsia="標楷體" w:hAnsi="標楷體"/>
          <w:sz w:val="32"/>
        </w:rPr>
        <w:t>同類</w:t>
      </w:r>
      <w:r w:rsidR="005021E7" w:rsidRPr="00B47233">
        <w:rPr>
          <w:rFonts w:eastAsia="標楷體" w:hAnsi="標楷體"/>
          <w:sz w:val="32"/>
        </w:rPr>
        <w:t>藥品</w:t>
      </w:r>
      <w:r w:rsidRPr="00B47233">
        <w:rPr>
          <w:rFonts w:eastAsia="標楷體" w:hAnsi="標楷體"/>
          <w:sz w:val="32"/>
        </w:rPr>
        <w:t>：</w:t>
      </w:r>
    </w:p>
    <w:p w:rsidR="00D2105D" w:rsidRPr="00B47233" w:rsidRDefault="00D2105D" w:rsidP="00B47233">
      <w:pPr>
        <w:pStyle w:val="aa"/>
        <w:numPr>
          <w:ilvl w:val="0"/>
          <w:numId w:val="8"/>
        </w:numPr>
        <w:spacing w:beforeLines="50" w:line="360" w:lineRule="exact"/>
        <w:ind w:leftChars="0" w:left="624"/>
        <w:rPr>
          <w:rFonts w:eastAsia="標楷體"/>
          <w:sz w:val="32"/>
        </w:rPr>
      </w:pPr>
      <w:r w:rsidRPr="00B47233">
        <w:rPr>
          <w:rFonts w:eastAsia="標楷體" w:hAnsi="標楷體"/>
          <w:sz w:val="32"/>
        </w:rPr>
        <w:t>醫療上可取代藥品：</w:t>
      </w:r>
    </w:p>
    <w:p w:rsidR="00A20065" w:rsidRPr="00B47233" w:rsidRDefault="00833E98" w:rsidP="00B47233">
      <w:pPr>
        <w:spacing w:beforeLines="70" w:line="360" w:lineRule="exact"/>
        <w:rPr>
          <w:rFonts w:eastAsia="標楷體"/>
          <w:sz w:val="32"/>
        </w:rPr>
      </w:pPr>
      <w:r w:rsidRPr="00B47233">
        <w:rPr>
          <w:rFonts w:eastAsia="標楷體" w:hAnsi="標楷體" w:hint="eastAsia"/>
          <w:sz w:val="32"/>
        </w:rPr>
        <w:t>十</w:t>
      </w:r>
      <w:r w:rsidR="00A20065" w:rsidRPr="00B47233">
        <w:rPr>
          <w:rFonts w:eastAsia="標楷體" w:hAnsi="標楷體"/>
          <w:sz w:val="32"/>
        </w:rPr>
        <w:t>、細胞製品運送至治療機構之程序，以及於治療機構之保存方式</w:t>
      </w:r>
    </w:p>
    <w:p w:rsidR="00D2105D" w:rsidRPr="00B47233" w:rsidRDefault="00A20065" w:rsidP="00B47233">
      <w:pPr>
        <w:spacing w:beforeLines="70" w:line="360" w:lineRule="exact"/>
        <w:rPr>
          <w:rFonts w:eastAsia="標楷體"/>
          <w:sz w:val="32"/>
        </w:rPr>
      </w:pPr>
      <w:r w:rsidRPr="00B47233">
        <w:rPr>
          <w:rFonts w:eastAsia="標楷體" w:hAnsi="標楷體"/>
          <w:sz w:val="32"/>
        </w:rPr>
        <w:t>十</w:t>
      </w:r>
      <w:r w:rsidR="00833E98" w:rsidRPr="00B47233">
        <w:rPr>
          <w:rFonts w:eastAsia="標楷體" w:hAnsi="標楷體" w:hint="eastAsia"/>
          <w:sz w:val="32"/>
        </w:rPr>
        <w:t>一</w:t>
      </w:r>
      <w:r w:rsidR="00D2105D" w:rsidRPr="00B47233">
        <w:rPr>
          <w:rFonts w:eastAsia="標楷體" w:hAnsi="標楷體"/>
          <w:sz w:val="32"/>
        </w:rPr>
        <w:t>、</w:t>
      </w:r>
      <w:r w:rsidR="007947BE" w:rsidRPr="00B47233">
        <w:rPr>
          <w:rFonts w:eastAsia="標楷體" w:hAnsi="標楷體"/>
          <w:sz w:val="32"/>
        </w:rPr>
        <w:t>細胞治療施行流程</w:t>
      </w:r>
      <w:r w:rsidR="005021E7" w:rsidRPr="00B47233">
        <w:rPr>
          <w:rFonts w:eastAsia="標楷體" w:hAnsi="標楷體"/>
          <w:sz w:val="32"/>
        </w:rPr>
        <w:t>：（含給藥途徑、給藥間隔、劑量、療程</w:t>
      </w:r>
      <w:r w:rsidR="005021E7" w:rsidRPr="00B47233">
        <w:rPr>
          <w:rFonts w:eastAsia="標楷體"/>
          <w:sz w:val="32"/>
        </w:rPr>
        <w:t>…</w:t>
      </w:r>
      <w:r w:rsidR="005021E7" w:rsidRPr="00B47233">
        <w:rPr>
          <w:rFonts w:eastAsia="標楷體" w:hAnsi="標楷體"/>
          <w:sz w:val="32"/>
        </w:rPr>
        <w:t>等）</w:t>
      </w:r>
    </w:p>
    <w:p w:rsidR="00A20065" w:rsidRPr="00B47233" w:rsidRDefault="00833E98" w:rsidP="00B47233">
      <w:pPr>
        <w:spacing w:beforeLines="70" w:line="360" w:lineRule="exact"/>
        <w:rPr>
          <w:rFonts w:eastAsia="標楷體"/>
          <w:sz w:val="32"/>
        </w:rPr>
      </w:pPr>
      <w:r w:rsidRPr="00B47233">
        <w:rPr>
          <w:rFonts w:eastAsia="標楷體" w:hAnsi="標楷體"/>
          <w:sz w:val="32"/>
        </w:rPr>
        <w:t>十</w:t>
      </w:r>
      <w:r w:rsidRPr="00B47233">
        <w:rPr>
          <w:rFonts w:eastAsia="標楷體" w:hAnsi="標楷體" w:hint="eastAsia"/>
          <w:sz w:val="32"/>
        </w:rPr>
        <w:t>二</w:t>
      </w:r>
      <w:r w:rsidR="00D2105D" w:rsidRPr="00B47233">
        <w:rPr>
          <w:rFonts w:eastAsia="標楷體" w:hAnsi="標楷體"/>
          <w:sz w:val="32"/>
        </w:rPr>
        <w:t>、</w:t>
      </w:r>
      <w:r w:rsidR="00A20065" w:rsidRPr="00B47233">
        <w:rPr>
          <w:rFonts w:eastAsia="標楷體" w:hAnsi="標楷體"/>
          <w:sz w:val="32"/>
        </w:rPr>
        <w:t>接受治療之病人其照護方式，包含疾病惡化之後的後續治療處理原則</w:t>
      </w:r>
      <w:r w:rsidR="00B01492" w:rsidRPr="00B47233">
        <w:rPr>
          <w:rFonts w:eastAsia="標楷體" w:hAnsi="標楷體"/>
          <w:sz w:val="32"/>
        </w:rPr>
        <w:t>：</w:t>
      </w:r>
    </w:p>
    <w:p w:rsidR="00A20065" w:rsidRPr="00B47233" w:rsidRDefault="005021E7" w:rsidP="00B47233">
      <w:pPr>
        <w:spacing w:beforeLines="70" w:line="360" w:lineRule="exact"/>
        <w:rPr>
          <w:rFonts w:eastAsia="標楷體"/>
          <w:sz w:val="32"/>
        </w:rPr>
      </w:pPr>
      <w:r w:rsidRPr="00B47233">
        <w:rPr>
          <w:rFonts w:eastAsia="標楷體" w:hAnsi="標楷體"/>
          <w:sz w:val="32"/>
        </w:rPr>
        <w:t>十</w:t>
      </w:r>
      <w:r w:rsidR="00833E98" w:rsidRPr="00B47233">
        <w:rPr>
          <w:rFonts w:eastAsia="標楷體" w:hAnsi="標楷體" w:hint="eastAsia"/>
          <w:sz w:val="32"/>
        </w:rPr>
        <w:t>三</w:t>
      </w:r>
      <w:r w:rsidR="00D2105D" w:rsidRPr="00B47233">
        <w:rPr>
          <w:rFonts w:eastAsia="標楷體" w:hAnsi="標楷體"/>
          <w:sz w:val="32"/>
        </w:rPr>
        <w:t>、</w:t>
      </w:r>
      <w:r w:rsidR="00A20065" w:rsidRPr="00B47233">
        <w:rPr>
          <w:rFonts w:eastAsia="標楷體" w:hAnsi="標楷體"/>
          <w:sz w:val="32"/>
        </w:rPr>
        <w:t>併用治療方法</w:t>
      </w:r>
      <w:r w:rsidR="00B01492" w:rsidRPr="00B47233">
        <w:rPr>
          <w:rFonts w:eastAsia="標楷體" w:hAnsi="標楷體"/>
          <w:sz w:val="32"/>
        </w:rPr>
        <w:t>：</w:t>
      </w:r>
    </w:p>
    <w:p w:rsidR="00A20065" w:rsidRPr="00B47233" w:rsidRDefault="00833E98" w:rsidP="00B47233">
      <w:pPr>
        <w:spacing w:beforeLines="70" w:line="360" w:lineRule="exact"/>
        <w:rPr>
          <w:rFonts w:eastAsia="標楷體"/>
          <w:sz w:val="32"/>
        </w:rPr>
      </w:pPr>
      <w:r w:rsidRPr="00B47233">
        <w:rPr>
          <w:rFonts w:eastAsia="標楷體" w:hAnsi="標楷體"/>
          <w:sz w:val="32"/>
        </w:rPr>
        <w:t>十</w:t>
      </w:r>
      <w:r w:rsidRPr="00B47233">
        <w:rPr>
          <w:rFonts w:eastAsia="標楷體" w:hAnsi="標楷體" w:hint="eastAsia"/>
          <w:sz w:val="32"/>
        </w:rPr>
        <w:t>四</w:t>
      </w:r>
      <w:r w:rsidR="00A20065" w:rsidRPr="00B47233">
        <w:rPr>
          <w:rFonts w:eastAsia="標楷體" w:hAnsi="標楷體"/>
          <w:sz w:val="32"/>
        </w:rPr>
        <w:t>、禁用治療</w:t>
      </w:r>
      <w:r w:rsidR="00B01492" w:rsidRPr="00B47233">
        <w:rPr>
          <w:rFonts w:eastAsia="標楷體" w:hAnsi="標楷體"/>
          <w:sz w:val="32"/>
        </w:rPr>
        <w:t>：</w:t>
      </w:r>
    </w:p>
    <w:p w:rsidR="00D2105D" w:rsidRPr="00B47233" w:rsidRDefault="00833E98" w:rsidP="00B47233">
      <w:pPr>
        <w:spacing w:beforeLines="70" w:line="360" w:lineRule="exact"/>
        <w:rPr>
          <w:rFonts w:eastAsia="標楷體"/>
          <w:sz w:val="32"/>
        </w:rPr>
      </w:pPr>
      <w:r w:rsidRPr="00B47233">
        <w:rPr>
          <w:rFonts w:eastAsia="標楷體" w:hAnsi="標楷體"/>
          <w:sz w:val="32"/>
        </w:rPr>
        <w:t>十</w:t>
      </w:r>
      <w:r w:rsidRPr="00B47233">
        <w:rPr>
          <w:rFonts w:eastAsia="標楷體" w:hAnsi="標楷體" w:hint="eastAsia"/>
          <w:sz w:val="32"/>
        </w:rPr>
        <w:t>五</w:t>
      </w:r>
      <w:r w:rsidR="00A20065" w:rsidRPr="00B47233">
        <w:rPr>
          <w:rFonts w:eastAsia="標楷體" w:hAnsi="標楷體"/>
          <w:sz w:val="32"/>
        </w:rPr>
        <w:t>、</w:t>
      </w:r>
      <w:r w:rsidR="00D2105D" w:rsidRPr="00B47233">
        <w:rPr>
          <w:rFonts w:eastAsia="標楷體" w:hAnsi="標楷體"/>
          <w:sz w:val="32"/>
        </w:rPr>
        <w:t>預期</w:t>
      </w:r>
      <w:r w:rsidR="00A20065" w:rsidRPr="00B47233">
        <w:rPr>
          <w:rFonts w:eastAsia="標楷體" w:hAnsi="標楷體"/>
          <w:sz w:val="32"/>
        </w:rPr>
        <w:t>治療</w:t>
      </w:r>
      <w:r w:rsidR="00D2105D" w:rsidRPr="00B47233">
        <w:rPr>
          <w:rFonts w:eastAsia="標楷體" w:hAnsi="標楷體"/>
          <w:sz w:val="32"/>
        </w:rPr>
        <w:t>效果</w:t>
      </w:r>
      <w:r w:rsidR="00A20065" w:rsidRPr="00B47233">
        <w:rPr>
          <w:rFonts w:eastAsia="標楷體" w:hAnsi="標楷體"/>
          <w:sz w:val="32"/>
        </w:rPr>
        <w:t>之評估及追蹤方式</w:t>
      </w:r>
    </w:p>
    <w:p w:rsidR="00A20065" w:rsidRPr="00B47233" w:rsidRDefault="00A20065" w:rsidP="00B47233">
      <w:pPr>
        <w:pStyle w:val="aa"/>
        <w:numPr>
          <w:ilvl w:val="0"/>
          <w:numId w:val="10"/>
        </w:numPr>
        <w:spacing w:beforeLines="50" w:line="360" w:lineRule="exact"/>
        <w:ind w:leftChars="0" w:left="624"/>
        <w:rPr>
          <w:rFonts w:eastAsia="標楷體"/>
          <w:sz w:val="32"/>
        </w:rPr>
      </w:pPr>
      <w:r w:rsidRPr="00B47233">
        <w:rPr>
          <w:rFonts w:eastAsia="標楷體" w:hAnsi="標楷體"/>
          <w:sz w:val="32"/>
        </w:rPr>
        <w:t>治療效果評估指標及其方法學：</w:t>
      </w:r>
    </w:p>
    <w:p w:rsidR="00A20065" w:rsidRPr="00B47233" w:rsidRDefault="00A20065" w:rsidP="00B47233">
      <w:pPr>
        <w:pStyle w:val="aa"/>
        <w:numPr>
          <w:ilvl w:val="0"/>
          <w:numId w:val="10"/>
        </w:numPr>
        <w:spacing w:beforeLines="50" w:line="360" w:lineRule="exact"/>
        <w:ind w:leftChars="0" w:left="624"/>
        <w:rPr>
          <w:rFonts w:eastAsia="標楷體"/>
          <w:sz w:val="32"/>
        </w:rPr>
      </w:pPr>
      <w:r w:rsidRPr="00B47233">
        <w:rPr>
          <w:rFonts w:eastAsia="標楷體" w:hAnsi="標楷體"/>
          <w:sz w:val="32"/>
        </w:rPr>
        <w:t>安全性評估指標及其方法學：</w:t>
      </w:r>
    </w:p>
    <w:p w:rsidR="00A20065" w:rsidRPr="00B47233" w:rsidRDefault="00A20065" w:rsidP="00B47233">
      <w:pPr>
        <w:pStyle w:val="aa"/>
        <w:numPr>
          <w:ilvl w:val="0"/>
          <w:numId w:val="10"/>
        </w:numPr>
        <w:spacing w:beforeLines="50" w:line="360" w:lineRule="exact"/>
        <w:ind w:leftChars="0" w:left="624"/>
        <w:rPr>
          <w:rFonts w:eastAsia="標楷體"/>
          <w:sz w:val="32"/>
        </w:rPr>
      </w:pPr>
      <w:r w:rsidRPr="00B47233">
        <w:rPr>
          <w:rFonts w:eastAsia="標楷體" w:hAnsi="標楷體"/>
          <w:sz w:val="32"/>
        </w:rPr>
        <w:t>治療期間以及治療結束後的追蹤頻次：</w:t>
      </w:r>
    </w:p>
    <w:p w:rsidR="00D2105D" w:rsidRPr="00B47233" w:rsidRDefault="00D2105D" w:rsidP="00B47233">
      <w:pPr>
        <w:spacing w:beforeLines="70" w:line="360" w:lineRule="exact"/>
        <w:rPr>
          <w:rFonts w:eastAsia="標楷體"/>
          <w:sz w:val="32"/>
        </w:rPr>
      </w:pPr>
      <w:r w:rsidRPr="00B47233">
        <w:rPr>
          <w:rFonts w:eastAsia="標楷體" w:hAnsi="標楷體"/>
          <w:sz w:val="32"/>
        </w:rPr>
        <w:t>十</w:t>
      </w:r>
      <w:r w:rsidR="00833E98" w:rsidRPr="00B47233">
        <w:rPr>
          <w:rFonts w:eastAsia="標楷體" w:hAnsi="標楷體" w:hint="eastAsia"/>
          <w:sz w:val="32"/>
        </w:rPr>
        <w:t>六</w:t>
      </w:r>
      <w:r w:rsidRPr="00B47233">
        <w:rPr>
          <w:rFonts w:eastAsia="標楷體" w:hAnsi="標楷體"/>
          <w:sz w:val="32"/>
        </w:rPr>
        <w:t>、可能發生的副作用、處理方式</w:t>
      </w:r>
      <w:r w:rsidR="00A20065" w:rsidRPr="00B47233">
        <w:rPr>
          <w:rFonts w:eastAsia="標楷體" w:hAnsi="標楷體"/>
          <w:sz w:val="32"/>
        </w:rPr>
        <w:t>及緊急處理機制</w:t>
      </w:r>
      <w:r w:rsidRPr="00B47233">
        <w:rPr>
          <w:rFonts w:eastAsia="標楷體" w:hAnsi="標楷體"/>
          <w:sz w:val="32"/>
        </w:rPr>
        <w:t>：</w:t>
      </w:r>
    </w:p>
    <w:p w:rsidR="00D0102D" w:rsidRPr="00B47233" w:rsidRDefault="00D0102D" w:rsidP="00B47233">
      <w:pPr>
        <w:pStyle w:val="aa"/>
        <w:numPr>
          <w:ilvl w:val="0"/>
          <w:numId w:val="13"/>
        </w:numPr>
        <w:spacing w:beforeLines="50" w:line="360" w:lineRule="exact"/>
        <w:ind w:leftChars="0" w:left="624"/>
        <w:rPr>
          <w:rFonts w:eastAsia="標楷體"/>
          <w:sz w:val="32"/>
          <w:szCs w:val="32"/>
        </w:rPr>
      </w:pPr>
      <w:r w:rsidRPr="00B47233">
        <w:rPr>
          <w:rFonts w:eastAsia="標楷體" w:hint="eastAsia"/>
          <w:sz w:val="32"/>
          <w:szCs w:val="32"/>
        </w:rPr>
        <w:t>請詳列可能發生的副作用及處理方式</w:t>
      </w:r>
    </w:p>
    <w:p w:rsidR="00D0102D" w:rsidRPr="00B47233" w:rsidRDefault="00D0102D" w:rsidP="00B47233">
      <w:pPr>
        <w:pStyle w:val="aa"/>
        <w:numPr>
          <w:ilvl w:val="0"/>
          <w:numId w:val="13"/>
        </w:numPr>
        <w:spacing w:beforeLines="50" w:line="360" w:lineRule="exact"/>
        <w:ind w:leftChars="0" w:left="624"/>
        <w:rPr>
          <w:rFonts w:eastAsia="標楷體"/>
          <w:sz w:val="32"/>
          <w:szCs w:val="32"/>
        </w:rPr>
      </w:pPr>
      <w:r w:rsidRPr="00B47233">
        <w:rPr>
          <w:rFonts w:eastAsia="標楷體" w:hint="eastAsia"/>
          <w:sz w:val="32"/>
          <w:szCs w:val="32"/>
        </w:rPr>
        <w:t>若發生副作用，請依本院</w:t>
      </w:r>
      <w:r w:rsidRPr="00B47233">
        <w:rPr>
          <w:rFonts w:eastAsia="標楷體" w:hAnsi="標楷體"/>
          <w:sz w:val="32"/>
          <w:szCs w:val="32"/>
        </w:rPr>
        <w:t>通報原則</w:t>
      </w:r>
      <w:r w:rsidRPr="00B47233">
        <w:rPr>
          <w:rFonts w:eastAsia="標楷體" w:hAnsi="標楷體" w:hint="eastAsia"/>
          <w:sz w:val="32"/>
          <w:szCs w:val="32"/>
        </w:rPr>
        <w:t>辦理</w:t>
      </w:r>
    </w:p>
    <w:p w:rsidR="00D0102D" w:rsidRPr="00B47233" w:rsidRDefault="00D0102D" w:rsidP="00B47233">
      <w:pPr>
        <w:pStyle w:val="aa"/>
        <w:spacing w:beforeLines="50" w:line="360" w:lineRule="exact"/>
        <w:ind w:leftChars="0" w:left="624"/>
        <w:rPr>
          <w:rFonts w:eastAsia="標楷體" w:hAnsi="標楷體"/>
          <w:sz w:val="32"/>
          <w:szCs w:val="32"/>
        </w:rPr>
      </w:pPr>
      <w:r w:rsidRPr="00B47233">
        <w:rPr>
          <w:rFonts w:eastAsia="標楷體" w:hAnsi="標楷體" w:hint="eastAsia"/>
          <w:sz w:val="32"/>
          <w:szCs w:val="32"/>
        </w:rPr>
        <w:lastRenderedPageBreak/>
        <w:t>(1)</w:t>
      </w:r>
      <w:r w:rsidRPr="00B47233">
        <w:rPr>
          <w:rFonts w:eastAsia="標楷體" w:hint="eastAsia"/>
          <w:sz w:val="32"/>
          <w:szCs w:val="32"/>
        </w:rPr>
        <w:t xml:space="preserve"> ADR</w:t>
      </w:r>
      <w:r w:rsidRPr="00B47233">
        <w:rPr>
          <w:rFonts w:eastAsia="標楷體" w:hint="eastAsia"/>
          <w:sz w:val="32"/>
          <w:szCs w:val="32"/>
        </w:rPr>
        <w:t>通報原則：</w:t>
      </w:r>
      <w:r w:rsidRPr="00B47233">
        <w:rPr>
          <w:rFonts w:eastAsia="標楷體" w:hAnsi="標楷體"/>
          <w:sz w:val="32"/>
          <w:szCs w:val="32"/>
        </w:rPr>
        <w:t>若發生藥品不良反應事件，請儘速於醫院網頁「安全通報作業」或於</w:t>
      </w:r>
      <w:r w:rsidRPr="00B47233">
        <w:rPr>
          <w:rFonts w:eastAsia="標楷體"/>
          <w:sz w:val="32"/>
          <w:szCs w:val="32"/>
        </w:rPr>
        <w:t xml:space="preserve"> HIS </w:t>
      </w:r>
      <w:r w:rsidRPr="00B47233">
        <w:rPr>
          <w:rFonts w:eastAsia="標楷體" w:hAnsi="標楷體"/>
          <w:sz w:val="32"/>
          <w:szCs w:val="32"/>
        </w:rPr>
        <w:t>醫療資訊管理系統之門診、急診、住院醫囑系統、護理作業系統、單一劑量系統進行線上通報</w:t>
      </w:r>
    </w:p>
    <w:p w:rsidR="00D0102D" w:rsidRPr="00B47233" w:rsidRDefault="00D0102D" w:rsidP="00B47233">
      <w:pPr>
        <w:pStyle w:val="aa"/>
        <w:spacing w:beforeLines="50" w:line="360" w:lineRule="exact"/>
        <w:ind w:leftChars="0" w:left="624"/>
        <w:rPr>
          <w:rFonts w:eastAsia="標楷體"/>
          <w:sz w:val="32"/>
          <w:szCs w:val="32"/>
        </w:rPr>
      </w:pPr>
      <w:r w:rsidRPr="00B47233">
        <w:rPr>
          <w:rFonts w:eastAsia="標楷體" w:hint="eastAsia"/>
          <w:sz w:val="32"/>
          <w:szCs w:val="32"/>
        </w:rPr>
        <w:t>(2)</w:t>
      </w:r>
      <w:r w:rsidRPr="00B47233">
        <w:rPr>
          <w:rFonts w:eastAsia="標楷體"/>
          <w:sz w:val="32"/>
          <w:szCs w:val="32"/>
        </w:rPr>
        <w:t>IRB</w:t>
      </w:r>
      <w:r w:rsidRPr="00B47233">
        <w:rPr>
          <w:rFonts w:eastAsia="標楷體" w:hAnsi="標楷體"/>
          <w:sz w:val="32"/>
          <w:szCs w:val="32"/>
        </w:rPr>
        <w:t>通報原則：</w:t>
      </w:r>
      <w:r w:rsidRPr="00B47233">
        <w:rPr>
          <w:rFonts w:eastAsia="標楷體" w:hAnsi="標楷體" w:hint="eastAsia"/>
          <w:sz w:val="32"/>
          <w:szCs w:val="32"/>
        </w:rPr>
        <w:t>若發生藥品非預期且相關之嚴重不良事件，請依本會標準作業程序「</w:t>
      </w:r>
      <w:r w:rsidRPr="00B47233">
        <w:rPr>
          <w:rFonts w:eastAsia="標楷體" w:hAnsi="標楷體" w:hint="eastAsia"/>
          <w:sz w:val="32"/>
          <w:szCs w:val="32"/>
        </w:rPr>
        <w:t xml:space="preserve">SOP019 </w:t>
      </w:r>
      <w:r w:rsidRPr="00B47233">
        <w:rPr>
          <w:rFonts w:eastAsia="標楷體" w:hAnsi="標楷體" w:hint="eastAsia"/>
          <w:sz w:val="32"/>
          <w:szCs w:val="32"/>
        </w:rPr>
        <w:t>嚴重不良事件暨安全性報告及非預期問題通報標準作業程序」辦理。</w:t>
      </w:r>
    </w:p>
    <w:p w:rsidR="00D2105D" w:rsidRPr="00B47233" w:rsidRDefault="00D2105D" w:rsidP="006618E2">
      <w:pPr>
        <w:spacing w:beforeLines="70" w:line="360" w:lineRule="exact"/>
        <w:rPr>
          <w:rFonts w:eastAsia="標楷體"/>
          <w:sz w:val="28"/>
          <w:szCs w:val="28"/>
        </w:rPr>
      </w:pPr>
      <w:r w:rsidRPr="00B47233">
        <w:rPr>
          <w:rFonts w:eastAsia="標楷體" w:hAnsi="標楷體"/>
          <w:sz w:val="32"/>
        </w:rPr>
        <w:t>十</w:t>
      </w:r>
      <w:r w:rsidR="00833E98" w:rsidRPr="00B47233">
        <w:rPr>
          <w:rFonts w:eastAsia="標楷體" w:hAnsi="標楷體" w:hint="eastAsia"/>
          <w:sz w:val="32"/>
        </w:rPr>
        <w:t>七</w:t>
      </w:r>
      <w:r w:rsidRPr="00B47233">
        <w:rPr>
          <w:rFonts w:eastAsia="標楷體" w:hAnsi="標楷體"/>
          <w:sz w:val="32"/>
        </w:rPr>
        <w:t>、相關文獻說明：</w:t>
      </w:r>
    </w:p>
    <w:sectPr w:rsidR="00D2105D" w:rsidRPr="00B47233" w:rsidSect="007947BE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0EF" w:rsidRDefault="00D820EF" w:rsidP="00D219B9">
      <w:r>
        <w:separator/>
      </w:r>
    </w:p>
  </w:endnote>
  <w:endnote w:type="continuationSeparator" w:id="1">
    <w:p w:rsidR="00D820EF" w:rsidRDefault="00D820EF" w:rsidP="00D21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01922"/>
      <w:docPartObj>
        <w:docPartGallery w:val="Page Numbers (Bottom of Page)"/>
        <w:docPartUnique/>
      </w:docPartObj>
    </w:sdtPr>
    <w:sdtContent>
      <w:p w:rsidR="00ED1ED8" w:rsidRDefault="006618E2" w:rsidP="00ED1ED8">
        <w:pPr>
          <w:pStyle w:val="a8"/>
          <w:jc w:val="center"/>
        </w:pPr>
        <w:r w:rsidRPr="00ED1ED8">
          <w:rPr>
            <w:sz w:val="28"/>
            <w:szCs w:val="28"/>
          </w:rPr>
          <w:fldChar w:fldCharType="begin"/>
        </w:r>
        <w:r w:rsidR="00ED1ED8" w:rsidRPr="00ED1ED8">
          <w:rPr>
            <w:sz w:val="28"/>
            <w:szCs w:val="28"/>
          </w:rPr>
          <w:instrText xml:space="preserve"> PAGE   \* MERGEFORMAT </w:instrText>
        </w:r>
        <w:r w:rsidRPr="00ED1ED8">
          <w:rPr>
            <w:sz w:val="28"/>
            <w:szCs w:val="28"/>
          </w:rPr>
          <w:fldChar w:fldCharType="separate"/>
        </w:r>
        <w:r w:rsidR="00B47233" w:rsidRPr="00B47233">
          <w:rPr>
            <w:noProof/>
            <w:sz w:val="28"/>
            <w:szCs w:val="28"/>
            <w:lang w:val="zh-HK"/>
          </w:rPr>
          <w:t>1</w:t>
        </w:r>
        <w:r w:rsidRPr="00ED1ED8">
          <w:rPr>
            <w:sz w:val="28"/>
            <w:szCs w:val="28"/>
          </w:rPr>
          <w:fldChar w:fldCharType="end"/>
        </w:r>
      </w:p>
    </w:sdtContent>
  </w:sdt>
  <w:p w:rsidR="00850073" w:rsidRPr="00850073" w:rsidRDefault="00850073" w:rsidP="00850073">
    <w:pPr>
      <w:pStyle w:val="a8"/>
      <w:jc w:val="right"/>
      <w:rPr>
        <w:rFonts w:ascii="標楷體" w:eastAsia="標楷體" w:hAnsi="標楷體"/>
        <w:sz w:val="28"/>
        <w:szCs w:val="28"/>
        <w:shd w:val="pct15" w:color="auto" w:fill="FFFFF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0EF" w:rsidRDefault="00D820EF" w:rsidP="00D219B9">
      <w:r>
        <w:separator/>
      </w:r>
    </w:p>
  </w:footnote>
  <w:footnote w:type="continuationSeparator" w:id="1">
    <w:p w:rsidR="00D820EF" w:rsidRDefault="00D820EF" w:rsidP="00D21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644991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1731D6"/>
    <w:multiLevelType w:val="hybridMultilevel"/>
    <w:tmpl w:val="7E7AA470"/>
    <w:lvl w:ilvl="0" w:tplc="C5C0EAA6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05C027D"/>
    <w:multiLevelType w:val="hybridMultilevel"/>
    <w:tmpl w:val="0924F16E"/>
    <w:lvl w:ilvl="0" w:tplc="EED88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091C29CE"/>
    <w:multiLevelType w:val="hybridMultilevel"/>
    <w:tmpl w:val="7E7AA470"/>
    <w:lvl w:ilvl="0" w:tplc="C5C0EAA6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0DB517FC"/>
    <w:multiLevelType w:val="multilevel"/>
    <w:tmpl w:val="0409002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2377DB0"/>
    <w:multiLevelType w:val="multilevel"/>
    <w:tmpl w:val="0409002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3A31808"/>
    <w:multiLevelType w:val="hybridMultilevel"/>
    <w:tmpl w:val="933252D4"/>
    <w:lvl w:ilvl="0" w:tplc="055C14B8">
      <w:start w:val="1"/>
      <w:numFmt w:val="decimal"/>
      <w:lvlText w:val="%1."/>
      <w:lvlJc w:val="left"/>
      <w:pPr>
        <w:ind w:left="120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3A10D5"/>
    <w:multiLevelType w:val="hybridMultilevel"/>
    <w:tmpl w:val="7E7AA470"/>
    <w:lvl w:ilvl="0" w:tplc="C5C0EAA6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>
    <w:nsid w:val="578A03BA"/>
    <w:multiLevelType w:val="hybridMultilevel"/>
    <w:tmpl w:val="7E7AA470"/>
    <w:lvl w:ilvl="0" w:tplc="C5C0EAA6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5CEB7F8A"/>
    <w:multiLevelType w:val="hybridMultilevel"/>
    <w:tmpl w:val="1FE4C70A"/>
    <w:lvl w:ilvl="0" w:tplc="5556574C">
      <w:start w:val="1"/>
      <w:numFmt w:val="decimal"/>
      <w:lvlText w:val="%1."/>
      <w:lvlJc w:val="left"/>
      <w:pPr>
        <w:ind w:left="120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66355E1E"/>
    <w:multiLevelType w:val="hybridMultilevel"/>
    <w:tmpl w:val="7E7AA470"/>
    <w:lvl w:ilvl="0" w:tplc="C5C0EAA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1021967"/>
    <w:multiLevelType w:val="hybridMultilevel"/>
    <w:tmpl w:val="7E7AA470"/>
    <w:lvl w:ilvl="0" w:tplc="C5C0EAA6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7D673000"/>
    <w:multiLevelType w:val="hybridMultilevel"/>
    <w:tmpl w:val="BB94BFC8"/>
    <w:lvl w:ilvl="0" w:tplc="E01AF5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20" w:hanging="480"/>
      </w:pPr>
    </w:lvl>
    <w:lvl w:ilvl="2" w:tplc="0409001B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1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105D"/>
    <w:rsid w:val="000E617F"/>
    <w:rsid w:val="00294450"/>
    <w:rsid w:val="003C0EDF"/>
    <w:rsid w:val="00451877"/>
    <w:rsid w:val="005021E7"/>
    <w:rsid w:val="005A62F3"/>
    <w:rsid w:val="005F5782"/>
    <w:rsid w:val="006618E2"/>
    <w:rsid w:val="007354DC"/>
    <w:rsid w:val="007709DA"/>
    <w:rsid w:val="007947BE"/>
    <w:rsid w:val="007A6581"/>
    <w:rsid w:val="0080556D"/>
    <w:rsid w:val="00827D20"/>
    <w:rsid w:val="00833E98"/>
    <w:rsid w:val="00840955"/>
    <w:rsid w:val="00850073"/>
    <w:rsid w:val="008D50C7"/>
    <w:rsid w:val="00911DFB"/>
    <w:rsid w:val="00994F76"/>
    <w:rsid w:val="009B4D85"/>
    <w:rsid w:val="00A0533C"/>
    <w:rsid w:val="00A20065"/>
    <w:rsid w:val="00A95663"/>
    <w:rsid w:val="00AB6A91"/>
    <w:rsid w:val="00B01492"/>
    <w:rsid w:val="00B47233"/>
    <w:rsid w:val="00B977CA"/>
    <w:rsid w:val="00CB5575"/>
    <w:rsid w:val="00D0102D"/>
    <w:rsid w:val="00D2105D"/>
    <w:rsid w:val="00D219B9"/>
    <w:rsid w:val="00D820EF"/>
    <w:rsid w:val="00DB552E"/>
    <w:rsid w:val="00E4625B"/>
    <w:rsid w:val="00ED1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10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D21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rsid w:val="00D2105D"/>
    <w:rPr>
      <w:rFonts w:ascii="Times New Roman" w:eastAsia="新細明體" w:hAnsi="Times New Roman" w:cs="Times New Roman"/>
      <w:sz w:val="20"/>
      <w:szCs w:val="20"/>
    </w:rPr>
  </w:style>
  <w:style w:type="paragraph" w:styleId="a6">
    <w:name w:val="Body Text Indent"/>
    <w:basedOn w:val="a0"/>
    <w:link w:val="a7"/>
    <w:rsid w:val="00D2105D"/>
    <w:pPr>
      <w:spacing w:after="120"/>
      <w:ind w:leftChars="200" w:left="480"/>
    </w:pPr>
    <w:rPr>
      <w:szCs w:val="20"/>
    </w:rPr>
  </w:style>
  <w:style w:type="character" w:customStyle="1" w:styleId="a7">
    <w:name w:val="本文縮排 字元"/>
    <w:basedOn w:val="a1"/>
    <w:link w:val="a6"/>
    <w:rsid w:val="00D2105D"/>
    <w:rPr>
      <w:rFonts w:ascii="Times New Roman" w:eastAsia="新細明體" w:hAnsi="Times New Roman" w:cs="Times New Roman"/>
      <w:szCs w:val="20"/>
    </w:rPr>
  </w:style>
  <w:style w:type="paragraph" w:styleId="a8">
    <w:name w:val="footer"/>
    <w:basedOn w:val="a0"/>
    <w:link w:val="a9"/>
    <w:uiPriority w:val="99"/>
    <w:unhideWhenUsed/>
    <w:rsid w:val="00827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827D20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0"/>
    <w:uiPriority w:val="34"/>
    <w:qFormat/>
    <w:rsid w:val="003C0EDF"/>
    <w:pPr>
      <w:ind w:leftChars="200" w:left="480"/>
    </w:pPr>
  </w:style>
  <w:style w:type="paragraph" w:styleId="a">
    <w:name w:val="List Bullet"/>
    <w:basedOn w:val="a0"/>
    <w:uiPriority w:val="99"/>
    <w:unhideWhenUsed/>
    <w:rsid w:val="00A20065"/>
    <w:pPr>
      <w:numPr>
        <w:numId w:val="1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142</Words>
  <Characters>816</Characters>
  <Application>Microsoft Office Word</Application>
  <DocSecurity>0</DocSecurity>
  <Lines>6</Lines>
  <Paragraphs>1</Paragraphs>
  <ScaleCrop>false</ScaleCrop>
  <Company>Sky123.Org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</dc:creator>
  <cp:lastModifiedBy>郭畹秦</cp:lastModifiedBy>
  <cp:revision>8</cp:revision>
  <dcterms:created xsi:type="dcterms:W3CDTF">2024-08-19T04:07:00Z</dcterms:created>
  <dcterms:modified xsi:type="dcterms:W3CDTF">2024-10-17T09:54:00Z</dcterms:modified>
</cp:coreProperties>
</file>