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CA" w:rsidRPr="00D538F8" w:rsidRDefault="00560ACA" w:rsidP="00560ACA">
      <w:pPr>
        <w:widowControl/>
        <w:autoSpaceDE w:val="0"/>
        <w:autoSpaceDN w:val="0"/>
        <w:spacing w:line="440" w:lineRule="exact"/>
        <w:ind w:right="40"/>
        <w:jc w:val="center"/>
        <w:textAlignment w:val="bottom"/>
        <w:rPr>
          <w:rFonts w:eastAsia="標楷體"/>
          <w:b/>
          <w:bCs/>
          <w:color w:val="000000"/>
          <w:sz w:val="42"/>
          <w:szCs w:val="42"/>
        </w:rPr>
      </w:pPr>
      <w:r w:rsidRPr="00D538F8">
        <w:rPr>
          <w:rFonts w:eastAsia="標楷體"/>
          <w:b/>
          <w:bCs/>
          <w:color w:val="000000"/>
          <w:sz w:val="42"/>
          <w:szCs w:val="42"/>
        </w:rPr>
        <w:t xml:space="preserve">Chang Gung Medical Foundation </w:t>
      </w:r>
    </w:p>
    <w:p w:rsidR="00560ACA" w:rsidRPr="00D538F8" w:rsidRDefault="00560ACA" w:rsidP="00560ACA">
      <w:pPr>
        <w:widowControl/>
        <w:autoSpaceDE w:val="0"/>
        <w:autoSpaceDN w:val="0"/>
        <w:spacing w:line="440" w:lineRule="exact"/>
        <w:ind w:right="40"/>
        <w:jc w:val="center"/>
        <w:textAlignment w:val="bottom"/>
        <w:rPr>
          <w:rFonts w:eastAsia="標楷體"/>
          <w:b/>
          <w:bCs/>
          <w:color w:val="000000"/>
          <w:sz w:val="42"/>
          <w:szCs w:val="42"/>
        </w:rPr>
      </w:pPr>
      <w:r w:rsidRPr="00D538F8">
        <w:rPr>
          <w:rFonts w:eastAsia="標楷體"/>
          <w:b/>
          <w:bCs/>
          <w:color w:val="000000"/>
          <w:sz w:val="42"/>
          <w:szCs w:val="42"/>
        </w:rPr>
        <w:t>Institutional Review Board</w:t>
      </w:r>
    </w:p>
    <w:p w:rsidR="00560ACA" w:rsidRPr="00D538F8" w:rsidRDefault="00560ACA" w:rsidP="00560ACA">
      <w:pPr>
        <w:spacing w:line="0" w:lineRule="atLeast"/>
        <w:jc w:val="center"/>
        <w:rPr>
          <w:rFonts w:eastAsia="標楷體"/>
          <w:color w:val="000000"/>
          <w:sz w:val="20"/>
        </w:rPr>
      </w:pPr>
      <w:r w:rsidRPr="00D538F8">
        <w:rPr>
          <w:rFonts w:eastAsia="標楷體"/>
          <w:color w:val="000000"/>
          <w:sz w:val="20"/>
        </w:rPr>
        <w:t>199, TUNG HWA NORTH ROAD,</w:t>
      </w:r>
    </w:p>
    <w:p w:rsidR="00560ACA" w:rsidRPr="00D538F8" w:rsidRDefault="00560ACA" w:rsidP="00560ACA">
      <w:pPr>
        <w:spacing w:line="0" w:lineRule="atLeast"/>
        <w:jc w:val="center"/>
        <w:rPr>
          <w:rFonts w:eastAsia="標楷體"/>
          <w:color w:val="000000"/>
          <w:sz w:val="20"/>
        </w:rPr>
      </w:pPr>
      <w:r w:rsidRPr="00D538F8">
        <w:rPr>
          <w:rFonts w:eastAsia="標楷體"/>
          <w:color w:val="000000"/>
          <w:sz w:val="20"/>
        </w:rPr>
        <w:t>TAIPEI, TAIWAN, 10507</w:t>
      </w:r>
    </w:p>
    <w:p w:rsidR="00560ACA" w:rsidRPr="00D538F8" w:rsidRDefault="00560ACA" w:rsidP="00560ACA">
      <w:pPr>
        <w:spacing w:line="0" w:lineRule="atLeast"/>
        <w:jc w:val="center"/>
        <w:rPr>
          <w:rFonts w:eastAsia="標楷體"/>
          <w:color w:val="000000"/>
          <w:sz w:val="20"/>
        </w:rPr>
      </w:pPr>
      <w:r w:rsidRPr="00D538F8">
        <w:rPr>
          <w:rFonts w:eastAsia="標楷體"/>
          <w:color w:val="000000"/>
          <w:sz w:val="20"/>
        </w:rPr>
        <w:t>REPUBLIC OF CHINA</w:t>
      </w:r>
    </w:p>
    <w:p w:rsidR="00560ACA" w:rsidRPr="00D538F8" w:rsidRDefault="00560ACA" w:rsidP="00560ACA">
      <w:pPr>
        <w:spacing w:line="0" w:lineRule="atLeast"/>
        <w:jc w:val="center"/>
        <w:rPr>
          <w:rFonts w:eastAsia="標楷體"/>
          <w:color w:val="000000"/>
          <w:sz w:val="20"/>
        </w:rPr>
      </w:pPr>
      <w:r w:rsidRPr="00D538F8">
        <w:rPr>
          <w:rFonts w:eastAsia="標楷體"/>
          <w:color w:val="000000"/>
          <w:sz w:val="20"/>
        </w:rPr>
        <w:t>Tel: (03) 3196200</w:t>
      </w:r>
    </w:p>
    <w:p w:rsidR="00560ACA" w:rsidRPr="00D538F8" w:rsidRDefault="00560ACA" w:rsidP="00560ACA">
      <w:pPr>
        <w:widowControl/>
        <w:autoSpaceDE w:val="0"/>
        <w:autoSpaceDN w:val="0"/>
        <w:spacing w:line="0" w:lineRule="atLeast"/>
        <w:ind w:right="40"/>
        <w:jc w:val="center"/>
        <w:textAlignment w:val="bottom"/>
        <w:rPr>
          <w:rFonts w:eastAsia="標楷體" w:hAnsi="Arial"/>
          <w:color w:val="000000"/>
          <w:sz w:val="20"/>
        </w:rPr>
      </w:pPr>
      <w:r w:rsidRPr="00D538F8">
        <w:rPr>
          <w:rFonts w:eastAsia="標楷體"/>
          <w:color w:val="000000"/>
          <w:sz w:val="20"/>
        </w:rPr>
        <w:t>Fax: (03) 3494549</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color w:val="000000"/>
          <w:szCs w:val="24"/>
        </w:rPr>
        <w:t>Protocol Title</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color w:val="000000"/>
          <w:szCs w:val="24"/>
        </w:rPr>
        <w:t xml:space="preserve">Protocol No. </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proofErr w:type="gramStart"/>
      <w:r w:rsidRPr="00D538F8">
        <w:rPr>
          <w:rFonts w:eastAsia="標楷體"/>
          <w:color w:val="000000"/>
          <w:szCs w:val="24"/>
        </w:rPr>
        <w:t>IRB No.</w:t>
      </w:r>
      <w:proofErr w:type="gramEnd"/>
      <w:r w:rsidRPr="00D538F8">
        <w:rPr>
          <w:rFonts w:eastAsia="標楷體"/>
          <w:color w:val="000000"/>
          <w:szCs w:val="24"/>
        </w:rPr>
        <w:t xml:space="preserve"> </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color w:val="000000"/>
          <w:szCs w:val="24"/>
        </w:rPr>
        <w:t xml:space="preserve">Principal Investigator(s) </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color w:val="000000"/>
          <w:szCs w:val="24"/>
        </w:rPr>
        <w:t xml:space="preserve">Co-Investigator(s) </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color w:val="000000"/>
          <w:szCs w:val="24"/>
        </w:rPr>
        <w:t xml:space="preserve">Duration of Approval: From </w:t>
      </w:r>
      <w:proofErr w:type="spellStart"/>
      <w:r w:rsidRPr="00D538F8">
        <w:rPr>
          <w:rFonts w:eastAsia="標楷體" w:hint="eastAsia"/>
          <w:color w:val="000000"/>
          <w:szCs w:val="24"/>
        </w:rPr>
        <w:t>yyyy</w:t>
      </w:r>
      <w:proofErr w:type="spellEnd"/>
      <w:r w:rsidRPr="00D538F8">
        <w:rPr>
          <w:rFonts w:eastAsia="標楷體" w:hint="eastAsia"/>
          <w:color w:val="000000"/>
          <w:szCs w:val="24"/>
        </w:rPr>
        <w:t>/</w:t>
      </w:r>
      <w:r w:rsidRPr="00D538F8">
        <w:rPr>
          <w:rFonts w:eastAsia="標楷體"/>
          <w:color w:val="000000"/>
          <w:szCs w:val="24"/>
        </w:rPr>
        <w:t>mm/</w:t>
      </w:r>
      <w:proofErr w:type="spellStart"/>
      <w:r w:rsidRPr="00D538F8">
        <w:rPr>
          <w:rFonts w:eastAsia="標楷體"/>
          <w:color w:val="000000"/>
          <w:szCs w:val="24"/>
        </w:rPr>
        <w:t>dd</w:t>
      </w:r>
      <w:proofErr w:type="spellEnd"/>
      <w:r w:rsidRPr="00D538F8">
        <w:rPr>
          <w:rFonts w:eastAsia="標楷體"/>
          <w:color w:val="000000"/>
          <w:szCs w:val="24"/>
        </w:rPr>
        <w:t xml:space="preserve"> TO </w:t>
      </w:r>
      <w:proofErr w:type="spellStart"/>
      <w:r w:rsidRPr="00D538F8">
        <w:rPr>
          <w:rFonts w:eastAsia="標楷體" w:hint="eastAsia"/>
          <w:color w:val="000000"/>
          <w:szCs w:val="24"/>
        </w:rPr>
        <w:t>yyyy</w:t>
      </w:r>
      <w:proofErr w:type="spellEnd"/>
      <w:r w:rsidRPr="00D538F8">
        <w:rPr>
          <w:rFonts w:eastAsia="標楷體" w:hint="eastAsia"/>
          <w:color w:val="000000"/>
          <w:szCs w:val="24"/>
        </w:rPr>
        <w:t>/</w:t>
      </w:r>
      <w:r w:rsidRPr="00D538F8">
        <w:rPr>
          <w:rFonts w:eastAsia="標楷體"/>
          <w:color w:val="000000"/>
          <w:szCs w:val="24"/>
        </w:rPr>
        <w:t>mm/</w:t>
      </w:r>
      <w:proofErr w:type="spellStart"/>
      <w:r w:rsidRPr="00D538F8">
        <w:rPr>
          <w:rFonts w:eastAsia="標楷體"/>
          <w:color w:val="000000"/>
          <w:szCs w:val="24"/>
        </w:rPr>
        <w:t>dd</w:t>
      </w:r>
      <w:proofErr w:type="spellEnd"/>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ascii="Cambria" w:hAnsi="Cambria"/>
          <w:color w:val="000000"/>
          <w:szCs w:val="24"/>
        </w:rPr>
        <w:t>Executing Institution:</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color w:val="000000"/>
          <w:szCs w:val="24"/>
        </w:rPr>
        <w:t>Approved Protocol</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color w:val="000000"/>
          <w:szCs w:val="24"/>
        </w:rPr>
        <w:t>Approved Informed Consent</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hint="eastAsia"/>
          <w:color w:val="000000"/>
          <w:szCs w:val="24"/>
        </w:rPr>
        <w:t>Advertisement</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hint="eastAsia"/>
          <w:color w:val="000000"/>
          <w:szCs w:val="24"/>
        </w:rPr>
        <w:t>Date of Meeting</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eastAsia="標楷體"/>
          <w:color w:val="000000"/>
          <w:szCs w:val="24"/>
        </w:rPr>
      </w:pPr>
      <w:r w:rsidRPr="00D538F8">
        <w:rPr>
          <w:rFonts w:eastAsia="標楷體" w:hint="eastAsia"/>
          <w:color w:val="000000"/>
          <w:szCs w:val="24"/>
        </w:rPr>
        <w:t>Date of Approval</w:t>
      </w:r>
      <w:r w:rsidRPr="00D538F8">
        <w:rPr>
          <w:rFonts w:eastAsia="標楷體"/>
          <w:color w:val="000000"/>
          <w:szCs w:val="24"/>
        </w:rPr>
        <w:t>：</w:t>
      </w:r>
    </w:p>
    <w:p w:rsidR="00560ACA" w:rsidRPr="00D538F8" w:rsidRDefault="00560ACA" w:rsidP="00560ACA">
      <w:pPr>
        <w:widowControl/>
        <w:autoSpaceDE w:val="0"/>
        <w:autoSpaceDN w:val="0"/>
        <w:spacing w:line="440" w:lineRule="exact"/>
        <w:ind w:right="40"/>
        <w:textAlignment w:val="bottom"/>
        <w:rPr>
          <w:rFonts w:ascii="Cambria" w:hAnsi="Cambria"/>
          <w:color w:val="000000"/>
          <w:position w:val="1"/>
          <w:szCs w:val="24"/>
        </w:rPr>
      </w:pPr>
      <w:r w:rsidRPr="00D538F8">
        <w:rPr>
          <w:rFonts w:ascii="Cambria" w:hAnsi="Cambria"/>
          <w:color w:val="000000"/>
          <w:szCs w:val="24"/>
        </w:rPr>
        <w:t>DSMB/DSMP</w:t>
      </w:r>
      <w:r w:rsidRPr="00D538F8">
        <w:rPr>
          <w:rFonts w:ascii="Cambria" w:hAnsi="Cambria"/>
          <w:color w:val="000000"/>
          <w:position w:val="1"/>
          <w:szCs w:val="24"/>
        </w:rPr>
        <w:t>: To be established</w:t>
      </w:r>
    </w:p>
    <w:p w:rsidR="00560ACA" w:rsidRPr="00D538F8" w:rsidRDefault="00560ACA" w:rsidP="00560ACA">
      <w:pPr>
        <w:widowControl/>
        <w:autoSpaceDE w:val="0"/>
        <w:autoSpaceDN w:val="0"/>
        <w:spacing w:line="440" w:lineRule="exact"/>
        <w:ind w:right="40"/>
        <w:textAlignment w:val="bottom"/>
        <w:rPr>
          <w:rFonts w:ascii="Cambria" w:hAnsi="Cambria"/>
          <w:color w:val="000000"/>
          <w:szCs w:val="24"/>
        </w:rPr>
      </w:pPr>
      <w:r w:rsidRPr="00D538F8">
        <w:rPr>
          <w:rFonts w:ascii="Cambria" w:hAnsi="Cambria"/>
          <w:color w:val="000000"/>
          <w:szCs w:val="24"/>
        </w:rPr>
        <w:t>Frequency of Continuing Report:  Once a year / every 6 months / every 3</w:t>
      </w:r>
      <w:r w:rsidRPr="00D538F8">
        <w:rPr>
          <w:rFonts w:ascii="Cambria" w:hAnsi="Cambria"/>
          <w:color w:val="000000"/>
          <w:position w:val="1"/>
          <w:szCs w:val="24"/>
        </w:rPr>
        <w:t xml:space="preserve"> months</w:t>
      </w:r>
    </w:p>
    <w:p w:rsidR="00560ACA" w:rsidRPr="00D538F8" w:rsidRDefault="00560ACA" w:rsidP="00560ACA">
      <w:pPr>
        <w:pStyle w:val="a3"/>
        <w:spacing w:before="21" w:line="231" w:lineRule="auto"/>
        <w:ind w:right="464"/>
        <w:jc w:val="both"/>
        <w:rPr>
          <w:rFonts w:ascii="新細明體" w:hAnsi="新細明體" w:cs="新細明體"/>
          <w:color w:val="000000"/>
          <w:position w:val="1"/>
          <w:szCs w:val="24"/>
        </w:rPr>
      </w:pPr>
    </w:p>
    <w:p w:rsidR="00560ACA" w:rsidRPr="00D538F8" w:rsidRDefault="00560ACA" w:rsidP="00560ACA">
      <w:pPr>
        <w:pStyle w:val="a3"/>
        <w:spacing w:before="21" w:line="231" w:lineRule="auto"/>
        <w:ind w:right="464"/>
        <w:jc w:val="both"/>
        <w:rPr>
          <w:rFonts w:ascii="Cambria" w:hAnsi="Cambria"/>
          <w:color w:val="000000"/>
          <w:szCs w:val="24"/>
        </w:rPr>
      </w:pPr>
      <w:r w:rsidRPr="00D538F8">
        <w:rPr>
          <w:rFonts w:ascii="新細明體" w:hAnsi="新細明體" w:cs="新細明體" w:hint="eastAsia"/>
          <w:color w:val="000000"/>
          <w:position w:val="1"/>
          <w:szCs w:val="24"/>
        </w:rPr>
        <w:t>※</w:t>
      </w:r>
      <w:r w:rsidRPr="00D538F8">
        <w:rPr>
          <w:rFonts w:ascii="Cambria" w:hAnsi="Cambria"/>
          <w:color w:val="000000"/>
          <w:position w:val="1"/>
          <w:szCs w:val="24"/>
        </w:rPr>
        <w:t xml:space="preserve">Next Deadline of </w:t>
      </w:r>
      <w:r w:rsidRPr="00D538F8">
        <w:rPr>
          <w:rFonts w:ascii="Cambria" w:hAnsi="Cambria"/>
          <w:color w:val="000000"/>
          <w:szCs w:val="24"/>
        </w:rPr>
        <w:t>Continuing</w:t>
      </w:r>
      <w:r w:rsidRPr="00D538F8">
        <w:rPr>
          <w:rFonts w:ascii="Cambria" w:hAnsi="Cambria"/>
          <w:color w:val="000000"/>
          <w:position w:val="1"/>
          <w:szCs w:val="24"/>
        </w:rPr>
        <w:t xml:space="preserve"> Report: </w:t>
      </w:r>
      <w:proofErr w:type="gramStart"/>
      <w:r w:rsidRPr="00D538F8">
        <w:rPr>
          <w:rFonts w:ascii="Cambria" w:hAnsi="Cambria"/>
          <w:color w:val="000000"/>
          <w:szCs w:val="24"/>
        </w:rPr>
        <w:t>YYYY/MM/DD.</w:t>
      </w:r>
      <w:proofErr w:type="gramEnd"/>
      <w:r w:rsidRPr="00D538F8">
        <w:rPr>
          <w:rFonts w:ascii="Cambria" w:hAnsi="Cambria"/>
          <w:color w:val="000000"/>
          <w:szCs w:val="24"/>
        </w:rPr>
        <w:t xml:space="preserve"> To facilitate the review, please submit the report two months before the deadline (or one month before the expiration of the trial if a </w:t>
      </w:r>
      <w:r w:rsidRPr="00D538F8">
        <w:rPr>
          <w:rFonts w:ascii="Cambria" w:hAnsi="Cambria" w:hint="eastAsia"/>
          <w:color w:val="000000"/>
          <w:szCs w:val="24"/>
        </w:rPr>
        <w:t>c</w:t>
      </w:r>
      <w:r w:rsidRPr="00D538F8">
        <w:rPr>
          <w:rFonts w:ascii="Cambria" w:hAnsi="Cambria"/>
          <w:color w:val="000000"/>
          <w:szCs w:val="24"/>
        </w:rPr>
        <w:t xml:space="preserve">ontinuing report shall be provided every three months) in order not to influence the principal investigator’s right to conduct the research. In the case that failure or delay to submit a </w:t>
      </w:r>
      <w:r w:rsidRPr="00D538F8">
        <w:rPr>
          <w:rFonts w:ascii="Cambria" w:hAnsi="Cambria" w:hint="eastAsia"/>
          <w:color w:val="000000"/>
          <w:szCs w:val="24"/>
        </w:rPr>
        <w:t>c</w:t>
      </w:r>
      <w:r w:rsidRPr="00D538F8">
        <w:rPr>
          <w:rFonts w:ascii="Cambria" w:hAnsi="Cambria"/>
          <w:color w:val="000000"/>
          <w:szCs w:val="24"/>
        </w:rPr>
        <w:t>ontinuing report makes the IRB unable to determine the next trial period by the deadline, the trial shall not be continuously conducted.</w:t>
      </w:r>
      <w:r w:rsidRPr="00D538F8">
        <w:rPr>
          <w:rFonts w:ascii="Cambria" w:hAnsi="Cambria"/>
          <w:color w:val="000000"/>
          <w:position w:val="1"/>
          <w:szCs w:val="24"/>
        </w:rPr>
        <w:t xml:space="preserve"> </w:t>
      </w:r>
      <w:r w:rsidRPr="00D538F8">
        <w:rPr>
          <w:rFonts w:ascii="Cambria" w:hAnsi="Cambria"/>
          <w:color w:val="000000"/>
          <w:szCs w:val="24"/>
        </w:rPr>
        <w:t>(</w:t>
      </w:r>
      <w:r w:rsidRPr="00D538F8">
        <w:rPr>
          <w:rFonts w:ascii="Cambria" w:hAnsi="Cambria"/>
          <w:color w:val="000000"/>
          <w:position w:val="1"/>
          <w:szCs w:val="24"/>
        </w:rPr>
        <w:t xml:space="preserve">This paragraph shall be provided if it is necessary to submit a </w:t>
      </w:r>
      <w:r w:rsidRPr="00D538F8">
        <w:rPr>
          <w:rFonts w:ascii="Cambria" w:hAnsi="Cambria" w:hint="eastAsia"/>
          <w:color w:val="000000"/>
          <w:szCs w:val="24"/>
        </w:rPr>
        <w:t>c</w:t>
      </w:r>
      <w:r w:rsidRPr="00D538F8">
        <w:rPr>
          <w:rFonts w:ascii="Cambria" w:hAnsi="Cambria"/>
          <w:color w:val="000000"/>
          <w:szCs w:val="24"/>
        </w:rPr>
        <w:t>ontinuing</w:t>
      </w:r>
      <w:r w:rsidRPr="00D538F8">
        <w:rPr>
          <w:rFonts w:ascii="Cambria" w:hAnsi="Cambria"/>
          <w:color w:val="000000"/>
          <w:position w:val="1"/>
          <w:szCs w:val="24"/>
        </w:rPr>
        <w:t xml:space="preserve"> report.</w:t>
      </w:r>
      <w:r w:rsidRPr="00D538F8">
        <w:rPr>
          <w:rFonts w:ascii="Cambria" w:hAnsi="Cambria"/>
          <w:color w:val="000000"/>
          <w:szCs w:val="24"/>
        </w:rPr>
        <w:t xml:space="preserve">)If the Principal Investigator fails to submit a </w:t>
      </w:r>
      <w:r w:rsidRPr="00D538F8">
        <w:rPr>
          <w:rFonts w:ascii="Cambria" w:hAnsi="Cambria" w:hint="eastAsia"/>
          <w:color w:val="000000"/>
          <w:szCs w:val="24"/>
        </w:rPr>
        <w:t>c</w:t>
      </w:r>
      <w:r w:rsidRPr="00D538F8">
        <w:rPr>
          <w:rFonts w:ascii="Cambria" w:hAnsi="Cambria"/>
          <w:color w:val="000000"/>
          <w:szCs w:val="24"/>
        </w:rPr>
        <w:t xml:space="preserve">ontinuing report on time, rendering the Institutional Review Board unable to issue the next trial execution period before the previous trial execution period expires, all research activities, including the intervention or interaction with the participating trial subjects, must be suspended. Unless the Institutional </w:t>
      </w:r>
      <w:r w:rsidRPr="00D538F8">
        <w:rPr>
          <w:rFonts w:ascii="Cambria" w:hAnsi="Cambria"/>
          <w:color w:val="000000"/>
          <w:szCs w:val="24"/>
        </w:rPr>
        <w:lastRenderedPageBreak/>
        <w:t xml:space="preserve">Review Board considers that the continuation of trial intervention or trial participation is greatly beneficial to the trial subject's safety or in the best interest of the trial subject from a moral point of view, no new trial subject shall be included until the </w:t>
      </w:r>
      <w:r w:rsidRPr="00D538F8">
        <w:rPr>
          <w:rFonts w:ascii="Cambria" w:hAnsi="Cambria" w:hint="eastAsia"/>
          <w:color w:val="000000"/>
          <w:szCs w:val="24"/>
        </w:rPr>
        <w:t>c</w:t>
      </w:r>
      <w:r w:rsidRPr="00D538F8">
        <w:rPr>
          <w:rFonts w:ascii="Cambria" w:hAnsi="Cambria"/>
          <w:color w:val="000000"/>
          <w:szCs w:val="24"/>
        </w:rPr>
        <w:t>ontinuing report is formally approved.</w:t>
      </w:r>
    </w:p>
    <w:p w:rsidR="00560ACA" w:rsidRPr="00D538F8" w:rsidRDefault="00560ACA" w:rsidP="00560ACA">
      <w:pPr>
        <w:pStyle w:val="a3"/>
        <w:spacing w:before="19" w:line="234" w:lineRule="auto"/>
        <w:ind w:right="464"/>
        <w:rPr>
          <w:rFonts w:ascii="Cambria" w:hAnsi="Cambria"/>
          <w:color w:val="000000"/>
          <w:szCs w:val="24"/>
        </w:rPr>
      </w:pPr>
      <w:r w:rsidRPr="00D538F8">
        <w:rPr>
          <w:rFonts w:ascii="新細明體" w:hAnsi="新細明體" w:cs="新細明體" w:hint="eastAsia"/>
          <w:color w:val="000000"/>
          <w:position w:val="1"/>
          <w:szCs w:val="24"/>
        </w:rPr>
        <w:t>※</w:t>
      </w:r>
      <w:r w:rsidRPr="00D538F8">
        <w:rPr>
          <w:rFonts w:ascii="Cambria" w:hAnsi="Cambria"/>
          <w:color w:val="000000"/>
          <w:position w:val="1"/>
          <w:szCs w:val="24"/>
        </w:rPr>
        <w:t xml:space="preserve">The research will expire on </w:t>
      </w:r>
      <w:r w:rsidRPr="00D538F8">
        <w:rPr>
          <w:rFonts w:ascii="Cambria" w:hAnsi="Cambria"/>
          <w:color w:val="000000"/>
          <w:szCs w:val="24"/>
        </w:rPr>
        <w:t xml:space="preserve">YYYY/MM/DD. Please submit the final report to the IRB for review within three months after the expiration of the trial research.  For extension of the trial period, please submit the amendment and a </w:t>
      </w:r>
      <w:r w:rsidRPr="00D538F8">
        <w:rPr>
          <w:rFonts w:ascii="Cambria" w:hAnsi="Cambria" w:hint="eastAsia"/>
          <w:color w:val="000000"/>
          <w:szCs w:val="24"/>
        </w:rPr>
        <w:t>c</w:t>
      </w:r>
      <w:r w:rsidRPr="00D538F8">
        <w:rPr>
          <w:rFonts w:ascii="Cambria" w:hAnsi="Cambria"/>
          <w:color w:val="000000"/>
          <w:szCs w:val="24"/>
        </w:rPr>
        <w:t xml:space="preserve">ontinuing report two months before the expiration. </w:t>
      </w:r>
    </w:p>
    <w:p w:rsidR="00560ACA" w:rsidRPr="00D538F8" w:rsidRDefault="00560ACA" w:rsidP="00560ACA">
      <w:pPr>
        <w:widowControl/>
        <w:autoSpaceDE w:val="0"/>
        <w:autoSpaceDN w:val="0"/>
        <w:spacing w:line="440" w:lineRule="exact"/>
        <w:ind w:right="40"/>
        <w:textAlignment w:val="bottom"/>
        <w:rPr>
          <w:rFonts w:eastAsia="標楷體"/>
          <w:color w:val="000000"/>
          <w:sz w:val="28"/>
          <w:szCs w:val="28"/>
        </w:rPr>
      </w:pPr>
      <w:r w:rsidRPr="00D538F8">
        <w:rPr>
          <w:rFonts w:ascii="新細明體" w:hAnsi="新細明體" w:cs="新細明體" w:hint="eastAsia"/>
          <w:color w:val="000000"/>
          <w:szCs w:val="24"/>
        </w:rPr>
        <w:t>※</w:t>
      </w:r>
      <w:r w:rsidRPr="00D538F8">
        <w:rPr>
          <w:rFonts w:ascii="Cambria" w:hAnsi="Cambria"/>
          <w:color w:val="000000"/>
          <w:szCs w:val="24"/>
        </w:rPr>
        <w:t>The research is a community study.  Please provide the participating community with research results after the completion of the research.</w:t>
      </w:r>
      <w:r w:rsidRPr="00D538F8">
        <w:rPr>
          <w:rFonts w:ascii="新細明體" w:hAnsi="新細明體" w:cs="新細明體" w:hint="eastAsia"/>
          <w:color w:val="000000"/>
          <w:szCs w:val="24"/>
        </w:rPr>
        <w:t>※</w:t>
      </w:r>
    </w:p>
    <w:p w:rsidR="00560ACA" w:rsidRPr="00D538F8" w:rsidRDefault="00560ACA" w:rsidP="00560ACA">
      <w:pPr>
        <w:snapToGrid w:val="0"/>
        <w:spacing w:line="360" w:lineRule="auto"/>
        <w:jc w:val="center"/>
        <w:rPr>
          <w:color w:val="000000"/>
          <w:szCs w:val="24"/>
        </w:rPr>
      </w:pPr>
      <w:r w:rsidRPr="00D538F8">
        <w:rPr>
          <w:rFonts w:eastAsia="TSC UKai M TT"/>
          <w:color w:val="000000"/>
          <w:szCs w:val="24"/>
        </w:rPr>
        <w:t xml:space="preserve">The </w:t>
      </w:r>
      <w:r w:rsidRPr="00D538F8">
        <w:rPr>
          <w:rFonts w:hint="eastAsia"/>
          <w:color w:val="000000"/>
          <w:szCs w:val="24"/>
        </w:rPr>
        <w:t>IRB</w:t>
      </w:r>
      <w:r w:rsidRPr="00D538F8">
        <w:rPr>
          <w:rFonts w:eastAsia="TSC UKai M TT"/>
          <w:color w:val="000000"/>
          <w:szCs w:val="24"/>
        </w:rPr>
        <w:t xml:space="preserve"> is organized and </w:t>
      </w:r>
      <w:proofErr w:type="gramStart"/>
      <w:r w:rsidRPr="00D538F8">
        <w:rPr>
          <w:rFonts w:eastAsia="TSC UKai M TT"/>
          <w:color w:val="000000"/>
          <w:szCs w:val="24"/>
        </w:rPr>
        <w:t xml:space="preserve">operates  </w:t>
      </w:r>
      <w:r w:rsidRPr="00D538F8">
        <w:rPr>
          <w:rFonts w:hint="eastAsia"/>
          <w:color w:val="000000"/>
          <w:szCs w:val="24"/>
        </w:rPr>
        <w:t>in</w:t>
      </w:r>
      <w:proofErr w:type="gramEnd"/>
      <w:r w:rsidRPr="00D538F8">
        <w:rPr>
          <w:rFonts w:hint="eastAsia"/>
          <w:color w:val="000000"/>
          <w:szCs w:val="24"/>
        </w:rPr>
        <w:t xml:space="preserve"> accordance with G</w:t>
      </w:r>
      <w:r w:rsidRPr="00D538F8">
        <w:rPr>
          <w:rFonts w:eastAsia="TSC UKai M TT"/>
          <w:color w:val="000000"/>
          <w:szCs w:val="24"/>
        </w:rPr>
        <w:t xml:space="preserve">ood </w:t>
      </w:r>
      <w:r w:rsidRPr="00D538F8">
        <w:rPr>
          <w:rFonts w:hint="eastAsia"/>
          <w:color w:val="000000"/>
          <w:szCs w:val="24"/>
        </w:rPr>
        <w:t>C</w:t>
      </w:r>
      <w:r w:rsidRPr="00D538F8">
        <w:rPr>
          <w:rFonts w:eastAsia="TSC UKai M TT"/>
          <w:color w:val="000000"/>
          <w:szCs w:val="24"/>
        </w:rPr>
        <w:t xml:space="preserve">linical </w:t>
      </w:r>
      <w:r w:rsidRPr="00D538F8">
        <w:rPr>
          <w:rFonts w:hint="eastAsia"/>
          <w:color w:val="000000"/>
          <w:szCs w:val="24"/>
        </w:rPr>
        <w:t>P</w:t>
      </w:r>
      <w:r w:rsidRPr="00D538F8">
        <w:rPr>
          <w:rFonts w:eastAsia="TSC UKai M TT"/>
          <w:color w:val="000000"/>
          <w:szCs w:val="24"/>
        </w:rPr>
        <w:t>ractice and the applicable laws and regulations.</w:t>
      </w:r>
    </w:p>
    <w:p w:rsidR="00560ACA" w:rsidRPr="00D538F8" w:rsidRDefault="00560ACA" w:rsidP="00560ACA">
      <w:pPr>
        <w:snapToGrid w:val="0"/>
        <w:spacing w:line="360" w:lineRule="auto"/>
        <w:jc w:val="both"/>
        <w:rPr>
          <w:color w:val="000000"/>
        </w:rPr>
      </w:pPr>
    </w:p>
    <w:p w:rsidR="00560ACA" w:rsidRPr="00D538F8" w:rsidRDefault="00560ACA" w:rsidP="00560ACA">
      <w:pPr>
        <w:snapToGrid w:val="0"/>
        <w:spacing w:line="360" w:lineRule="auto"/>
        <w:jc w:val="both"/>
        <w:rPr>
          <w:color w:val="000000"/>
        </w:rPr>
      </w:pPr>
      <w:proofErr w:type="gramStart"/>
      <w:r w:rsidRPr="00D538F8">
        <w:rPr>
          <w:rFonts w:hint="eastAsia"/>
          <w:color w:val="000000"/>
        </w:rPr>
        <w:t>&lt;</w:t>
      </w:r>
      <w:r w:rsidRPr="00D538F8">
        <w:rPr>
          <w:rFonts w:eastAsia="TSC UKai M TT"/>
          <w:color w:val="000000"/>
        </w:rPr>
        <w:t>Tsang-Tang Hsieh, M.D.</w:t>
      </w:r>
      <w:r w:rsidRPr="00D538F8">
        <w:rPr>
          <w:rFonts w:hint="eastAsia"/>
          <w:color w:val="000000"/>
        </w:rPr>
        <w:t>&gt;</w:t>
      </w:r>
      <w:proofErr w:type="gramEnd"/>
    </w:p>
    <w:p w:rsidR="00560ACA" w:rsidRPr="00D538F8" w:rsidRDefault="00560ACA" w:rsidP="00560ACA">
      <w:pPr>
        <w:snapToGrid w:val="0"/>
        <w:spacing w:line="360" w:lineRule="auto"/>
        <w:jc w:val="both"/>
        <w:rPr>
          <w:rFonts w:eastAsia="TSC UKai M TT"/>
          <w:color w:val="000000"/>
        </w:rPr>
      </w:pPr>
      <w:r w:rsidRPr="00D538F8">
        <w:rPr>
          <w:rFonts w:eastAsia="TSC UKai M TT"/>
          <w:color w:val="000000"/>
        </w:rPr>
        <w:t>Chairman</w:t>
      </w:r>
    </w:p>
    <w:p w:rsidR="00560ACA" w:rsidRPr="00D538F8" w:rsidRDefault="00560ACA" w:rsidP="00560ACA">
      <w:pPr>
        <w:snapToGrid w:val="0"/>
        <w:spacing w:line="360" w:lineRule="auto"/>
        <w:jc w:val="both"/>
        <w:rPr>
          <w:color w:val="000000"/>
        </w:rPr>
      </w:pPr>
      <w:r w:rsidRPr="00D538F8">
        <w:rPr>
          <w:rFonts w:eastAsia="TSC UKai M TT" w:hint="eastAsia"/>
          <w:color w:val="000000"/>
        </w:rPr>
        <w:t>I</w:t>
      </w:r>
      <w:r w:rsidRPr="00D538F8">
        <w:rPr>
          <w:rFonts w:eastAsia="TSC UKai M TT"/>
          <w:color w:val="000000"/>
        </w:rPr>
        <w:t>nstitutional Review Board</w:t>
      </w:r>
    </w:p>
    <w:p w:rsidR="00560ACA" w:rsidRPr="00D538F8" w:rsidRDefault="00560ACA" w:rsidP="00560ACA">
      <w:pPr>
        <w:snapToGrid w:val="0"/>
        <w:spacing w:line="360" w:lineRule="auto"/>
        <w:jc w:val="both"/>
        <w:rPr>
          <w:color w:val="000000"/>
        </w:rPr>
      </w:pPr>
      <w:r w:rsidRPr="00D538F8">
        <w:rPr>
          <w:rFonts w:eastAsia="TSC UKai M TT"/>
          <w:color w:val="000000"/>
        </w:rPr>
        <w:t>Chang Gung Me</w:t>
      </w:r>
      <w:r w:rsidRPr="00D538F8">
        <w:rPr>
          <w:rFonts w:eastAsia="TSC UKai M TT" w:hint="eastAsia"/>
          <w:color w:val="000000"/>
        </w:rPr>
        <w:t>dica</w:t>
      </w:r>
      <w:r w:rsidRPr="00D538F8">
        <w:rPr>
          <w:rFonts w:eastAsia="TSC UKai M TT"/>
          <w:color w:val="000000"/>
        </w:rPr>
        <w:t xml:space="preserve">l </w:t>
      </w:r>
      <w:r w:rsidRPr="00D538F8">
        <w:rPr>
          <w:rFonts w:eastAsia="TSC UKai M TT" w:hint="eastAsia"/>
          <w:color w:val="000000"/>
        </w:rPr>
        <w:t>Foundation</w:t>
      </w:r>
      <w:r w:rsidRPr="00D538F8">
        <w:rPr>
          <w:rFonts w:eastAsia="TSC UKai M TT"/>
          <w:color w:val="000000"/>
        </w:rPr>
        <w:t xml:space="preserve"> </w:t>
      </w:r>
    </w:p>
    <w:p w:rsidR="00294450" w:rsidRPr="00560ACA" w:rsidRDefault="00294450"/>
    <w:sectPr w:rsidR="00294450" w:rsidRPr="00560ACA" w:rsidSect="0029445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SC UKai M TT">
    <w:altName w:val="細明體"/>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0ACA"/>
    <w:rsid w:val="0007433F"/>
    <w:rsid w:val="00294450"/>
    <w:rsid w:val="00560ACA"/>
    <w:rsid w:val="00B42A3E"/>
    <w:rsid w:val="00F065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C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0ACA"/>
    <w:pPr>
      <w:spacing w:after="120"/>
    </w:pPr>
  </w:style>
  <w:style w:type="character" w:customStyle="1" w:styleId="a4">
    <w:name w:val="本文 字元"/>
    <w:basedOn w:val="a0"/>
    <w:link w:val="a3"/>
    <w:rsid w:val="00560ACA"/>
    <w:rPr>
      <w:rFonts w:ascii="Times New Roman" w:eastAsia="新細明體"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4</DocSecurity>
  <Lines>17</Lines>
  <Paragraphs>4</Paragraphs>
  <ScaleCrop>false</ScaleCrop>
  <Company>Sky123.Org</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2018-11-06T04:53:00Z</dcterms:created>
  <dcterms:modified xsi:type="dcterms:W3CDTF">2018-11-06T04:53:00Z</dcterms:modified>
</cp:coreProperties>
</file>