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FD" w:rsidRPr="0083616F" w:rsidRDefault="00D014FD" w:rsidP="00D014FD">
      <w:pPr>
        <w:snapToGrid w:val="0"/>
        <w:spacing w:beforeLines="20" w:before="72" w:afterLines="20" w:after="72" w:line="240" w:lineRule="atLeast"/>
        <w:jc w:val="center"/>
        <w:rPr>
          <w:color w:val="000000"/>
        </w:rPr>
      </w:pPr>
      <w:r w:rsidRPr="0083616F">
        <w:rPr>
          <w:rFonts w:eastAsia="SimSun"/>
          <w:color w:val="000000"/>
          <w:lang w:eastAsia="zh-CN"/>
        </w:rPr>
        <w:t>Please declare yourself within the Contractual Provision Items:</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05"/>
        <w:gridCol w:w="772"/>
        <w:gridCol w:w="1293"/>
        <w:gridCol w:w="1293"/>
        <w:gridCol w:w="1150"/>
        <w:gridCol w:w="1346"/>
        <w:gridCol w:w="1216"/>
      </w:tblGrid>
      <w:tr w:rsidR="00D014FD" w:rsidRPr="0083616F" w:rsidTr="001F16D0">
        <w:trPr>
          <w:trHeight w:val="187"/>
          <w:jc w:val="center"/>
        </w:trPr>
        <w:tc>
          <w:tcPr>
            <w:tcW w:w="1217" w:type="pct"/>
            <w:vMerge w:val="restart"/>
            <w:shd w:val="clear" w:color="auto" w:fill="auto"/>
          </w:tcPr>
          <w:p w:rsidR="00D014FD" w:rsidRPr="0083616F" w:rsidRDefault="00D014FD" w:rsidP="001F16D0">
            <w:pPr>
              <w:spacing w:line="0" w:lineRule="atLeast"/>
              <w:jc w:val="center"/>
              <w:rPr>
                <w:rFonts w:eastAsia="SimSun"/>
                <w:color w:val="000000"/>
                <w:sz w:val="20"/>
                <w:szCs w:val="20"/>
                <w:lang w:eastAsia="zh-CN"/>
              </w:rPr>
            </w:pPr>
            <w:r w:rsidRPr="0083616F">
              <w:rPr>
                <w:color w:val="000000"/>
                <w:sz w:val="20"/>
                <w:szCs w:val="20"/>
              </w:rPr>
              <w:t>Contractual Provisions</w:t>
            </w:r>
          </w:p>
        </w:tc>
        <w:tc>
          <w:tcPr>
            <w:tcW w:w="1301" w:type="pct"/>
            <w:gridSpan w:val="3"/>
            <w:shd w:val="clear" w:color="auto" w:fill="auto"/>
          </w:tcPr>
          <w:p w:rsidR="00D014FD" w:rsidRPr="0083616F" w:rsidRDefault="00D014FD" w:rsidP="001F16D0">
            <w:pPr>
              <w:spacing w:line="0" w:lineRule="atLeast"/>
              <w:jc w:val="center"/>
              <w:rPr>
                <w:rFonts w:eastAsia="SimSun"/>
                <w:color w:val="000000"/>
                <w:sz w:val="20"/>
                <w:szCs w:val="20"/>
                <w:lang w:eastAsia="zh-CN"/>
              </w:rPr>
            </w:pPr>
            <w:r w:rsidRPr="0083616F">
              <w:rPr>
                <w:rFonts w:eastAsia="SimSun"/>
                <w:color w:val="000000"/>
                <w:sz w:val="20"/>
                <w:szCs w:val="20"/>
                <w:lang w:eastAsia="zh-CN"/>
              </w:rPr>
              <w:t>Deliverer</w:t>
            </w:r>
          </w:p>
        </w:tc>
        <w:tc>
          <w:tcPr>
            <w:tcW w:w="2481" w:type="pct"/>
            <w:gridSpan w:val="4"/>
            <w:shd w:val="clear" w:color="auto" w:fill="auto"/>
          </w:tcPr>
          <w:p w:rsidR="00D014FD" w:rsidRPr="0083616F" w:rsidRDefault="00D014FD" w:rsidP="001F16D0">
            <w:pPr>
              <w:spacing w:line="0" w:lineRule="atLeast"/>
              <w:jc w:val="center"/>
              <w:rPr>
                <w:rFonts w:eastAsia="SimSun"/>
                <w:color w:val="000000"/>
                <w:sz w:val="20"/>
                <w:szCs w:val="20"/>
                <w:lang w:eastAsia="zh-CN"/>
              </w:rPr>
            </w:pPr>
            <w:r w:rsidRPr="0083616F">
              <w:rPr>
                <w:rFonts w:eastAsia="SimSun"/>
                <w:color w:val="000000"/>
                <w:sz w:val="20"/>
                <w:szCs w:val="20"/>
                <w:lang w:eastAsia="zh-CN"/>
              </w:rPr>
              <w:t xml:space="preserve">Examined by the </w:t>
            </w:r>
            <w:r w:rsidRPr="0083616F">
              <w:rPr>
                <w:color w:val="000000"/>
                <w:sz w:val="20"/>
                <w:szCs w:val="20"/>
              </w:rPr>
              <w:t>Clinical Trail Center</w:t>
            </w:r>
          </w:p>
        </w:tc>
      </w:tr>
      <w:tr w:rsidR="00D014FD" w:rsidRPr="0083616F" w:rsidTr="001F16D0">
        <w:trPr>
          <w:trHeight w:val="233"/>
          <w:jc w:val="center"/>
        </w:trPr>
        <w:tc>
          <w:tcPr>
            <w:tcW w:w="1217" w:type="pct"/>
            <w:vMerge/>
            <w:shd w:val="clear" w:color="auto" w:fill="auto"/>
          </w:tcPr>
          <w:p w:rsidR="00D014FD" w:rsidRPr="0083616F" w:rsidRDefault="00D014FD" w:rsidP="001F16D0">
            <w:pPr>
              <w:spacing w:line="0" w:lineRule="atLeast"/>
              <w:jc w:val="center"/>
              <w:rPr>
                <w:color w:val="000000"/>
                <w:sz w:val="20"/>
                <w:szCs w:val="20"/>
              </w:rPr>
            </w:pPr>
          </w:p>
        </w:tc>
        <w:tc>
          <w:tcPr>
            <w:tcW w:w="286" w:type="pct"/>
            <w:shd w:val="clear" w:color="auto" w:fill="auto"/>
          </w:tcPr>
          <w:p w:rsidR="00D014FD" w:rsidRPr="0083616F" w:rsidRDefault="00D014FD" w:rsidP="001F16D0">
            <w:pPr>
              <w:spacing w:line="0" w:lineRule="atLeast"/>
              <w:jc w:val="center"/>
              <w:rPr>
                <w:color w:val="000000"/>
                <w:sz w:val="20"/>
                <w:szCs w:val="20"/>
              </w:rPr>
            </w:pPr>
            <w:r w:rsidRPr="0083616F">
              <w:rPr>
                <w:rFonts w:eastAsia="SimSun"/>
                <w:color w:val="000000"/>
                <w:sz w:val="20"/>
                <w:szCs w:val="20"/>
                <w:lang w:eastAsia="zh-CN"/>
              </w:rPr>
              <w:t>Page</w:t>
            </w:r>
          </w:p>
        </w:tc>
        <w:tc>
          <w:tcPr>
            <w:tcW w:w="365" w:type="pct"/>
            <w:shd w:val="clear" w:color="auto" w:fill="auto"/>
          </w:tcPr>
          <w:p w:rsidR="00D014FD" w:rsidRPr="0083616F" w:rsidRDefault="00D014FD" w:rsidP="001F16D0">
            <w:pPr>
              <w:spacing w:line="0" w:lineRule="atLeast"/>
              <w:jc w:val="center"/>
              <w:rPr>
                <w:color w:val="000000"/>
                <w:sz w:val="20"/>
                <w:szCs w:val="20"/>
              </w:rPr>
            </w:pPr>
            <w:r w:rsidRPr="0083616F">
              <w:rPr>
                <w:rFonts w:eastAsia="SimSun"/>
                <w:color w:val="000000"/>
                <w:sz w:val="20"/>
                <w:szCs w:val="20"/>
                <w:lang w:eastAsia="zh-CN"/>
              </w:rPr>
              <w:t>Article</w:t>
            </w:r>
          </w:p>
        </w:tc>
        <w:tc>
          <w:tcPr>
            <w:tcW w:w="649" w:type="pct"/>
            <w:shd w:val="clear" w:color="auto" w:fill="auto"/>
          </w:tcPr>
          <w:p w:rsidR="00D014FD" w:rsidRPr="0083616F" w:rsidRDefault="00D014FD" w:rsidP="001F16D0">
            <w:pPr>
              <w:spacing w:line="0" w:lineRule="atLeast"/>
              <w:jc w:val="center"/>
              <w:rPr>
                <w:color w:val="000000"/>
                <w:sz w:val="20"/>
                <w:szCs w:val="20"/>
              </w:rPr>
            </w:pPr>
            <w:r w:rsidRPr="0083616F">
              <w:rPr>
                <w:rFonts w:eastAsia="SimSun"/>
                <w:color w:val="000000"/>
                <w:sz w:val="20"/>
                <w:szCs w:val="20"/>
                <w:lang w:eastAsia="zh-CN"/>
              </w:rPr>
              <w:t>Delivery Notice</w:t>
            </w:r>
          </w:p>
        </w:tc>
        <w:tc>
          <w:tcPr>
            <w:tcW w:w="650" w:type="pct"/>
            <w:shd w:val="clear" w:color="auto" w:fill="auto"/>
          </w:tcPr>
          <w:p w:rsidR="00D014FD" w:rsidRPr="0083616F" w:rsidRDefault="00D014FD" w:rsidP="001F16D0">
            <w:pPr>
              <w:spacing w:line="0" w:lineRule="atLeast"/>
              <w:jc w:val="center"/>
              <w:rPr>
                <w:rFonts w:eastAsia="SimSun"/>
                <w:color w:val="000000"/>
                <w:sz w:val="20"/>
                <w:szCs w:val="20"/>
                <w:lang w:eastAsia="zh-CN"/>
              </w:rPr>
            </w:pPr>
            <w:r w:rsidRPr="0083616F">
              <w:rPr>
                <w:rFonts w:eastAsia="SimSun"/>
                <w:color w:val="000000"/>
                <w:sz w:val="20"/>
                <w:szCs w:val="20"/>
                <w:lang w:eastAsia="zh-CN"/>
              </w:rPr>
              <w:t>Receipt Notice</w:t>
            </w:r>
          </w:p>
        </w:tc>
        <w:tc>
          <w:tcPr>
            <w:tcW w:w="544" w:type="pct"/>
            <w:shd w:val="clear" w:color="auto" w:fill="auto"/>
          </w:tcPr>
          <w:p w:rsidR="00D014FD" w:rsidRPr="0083616F" w:rsidRDefault="00D014FD" w:rsidP="001F16D0">
            <w:pPr>
              <w:spacing w:line="0" w:lineRule="atLeast"/>
              <w:jc w:val="center"/>
              <w:rPr>
                <w:color w:val="000000"/>
                <w:sz w:val="20"/>
                <w:szCs w:val="20"/>
              </w:rPr>
            </w:pPr>
            <w:r w:rsidRPr="0083616F">
              <w:rPr>
                <w:rFonts w:eastAsia="SimSun"/>
                <w:color w:val="000000"/>
                <w:sz w:val="20"/>
                <w:szCs w:val="20"/>
                <w:lang w:eastAsia="zh-CN"/>
              </w:rPr>
              <w:t>Conformity</w:t>
            </w:r>
          </w:p>
        </w:tc>
        <w:tc>
          <w:tcPr>
            <w:tcW w:w="676" w:type="pct"/>
            <w:shd w:val="clear" w:color="auto" w:fill="auto"/>
          </w:tcPr>
          <w:p w:rsidR="00D014FD" w:rsidRPr="0083616F" w:rsidRDefault="00D014FD" w:rsidP="001F16D0">
            <w:pPr>
              <w:spacing w:line="0" w:lineRule="atLeast"/>
              <w:jc w:val="center"/>
              <w:rPr>
                <w:rFonts w:eastAsia="SimSun"/>
                <w:color w:val="000000"/>
                <w:sz w:val="20"/>
                <w:szCs w:val="20"/>
                <w:lang w:eastAsia="zh-CN"/>
              </w:rPr>
            </w:pPr>
            <w:r w:rsidRPr="0083616F">
              <w:rPr>
                <w:rFonts w:eastAsia="SimSun"/>
                <w:color w:val="000000"/>
                <w:sz w:val="20"/>
                <w:szCs w:val="20"/>
                <w:lang w:eastAsia="zh-CN"/>
              </w:rPr>
              <w:t>Inconformity</w:t>
            </w:r>
          </w:p>
        </w:tc>
        <w:tc>
          <w:tcPr>
            <w:tcW w:w="610" w:type="pct"/>
            <w:shd w:val="clear" w:color="auto" w:fill="auto"/>
          </w:tcPr>
          <w:p w:rsidR="00D014FD" w:rsidRPr="0083616F" w:rsidRDefault="00D014FD" w:rsidP="001F16D0">
            <w:pPr>
              <w:widowControl/>
              <w:spacing w:line="0" w:lineRule="atLeast"/>
              <w:jc w:val="center"/>
              <w:rPr>
                <w:color w:val="000000"/>
                <w:sz w:val="20"/>
                <w:szCs w:val="20"/>
              </w:rPr>
            </w:pPr>
            <w:r w:rsidRPr="0083616F">
              <w:rPr>
                <w:rFonts w:eastAsia="SimSun"/>
                <w:color w:val="000000"/>
                <w:sz w:val="20"/>
                <w:szCs w:val="20"/>
                <w:lang w:eastAsia="zh-CN"/>
              </w:rPr>
              <w:t>Comments</w:t>
            </w:r>
          </w:p>
        </w:tc>
      </w:tr>
      <w:tr w:rsidR="00D014FD" w:rsidRPr="0083616F" w:rsidTr="001F16D0">
        <w:trPr>
          <w:trHeight w:val="17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1.This is a change of the Contract. It is not necessary to be filled out.</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179"/>
          <w:jc w:val="center"/>
        </w:trPr>
        <w:tc>
          <w:tcPr>
            <w:tcW w:w="1217" w:type="pct"/>
            <w:shd w:val="clear" w:color="auto" w:fill="auto"/>
          </w:tcPr>
          <w:p w:rsidR="00D014FD" w:rsidRPr="0083616F" w:rsidRDefault="00D014FD" w:rsidP="001F16D0">
            <w:pPr>
              <w:spacing w:line="0" w:lineRule="atLeast"/>
              <w:ind w:left="124" w:hangingChars="62" w:hanging="124"/>
              <w:rPr>
                <w:color w:val="000000"/>
                <w:sz w:val="20"/>
                <w:szCs w:val="20"/>
              </w:rPr>
            </w:pPr>
            <w:r w:rsidRPr="0083616F">
              <w:rPr>
                <w:rFonts w:eastAsia="新細明體"/>
                <w:color w:val="000000"/>
                <w:sz w:val="20"/>
                <w:szCs w:val="20"/>
              </w:rPr>
              <w:t>2</w:t>
            </w:r>
            <w:r w:rsidRPr="0083616F">
              <w:rPr>
                <w:rFonts w:eastAsia="SimSun"/>
                <w:color w:val="000000"/>
                <w:sz w:val="20"/>
                <w:szCs w:val="20"/>
                <w:lang w:eastAsia="zh-CN"/>
              </w:rPr>
              <w:t>. Specify the name of the experiment plan, which should be the same as that in the IRB Approval Letter.</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313"/>
          <w:jc w:val="center"/>
        </w:trPr>
        <w:tc>
          <w:tcPr>
            <w:tcW w:w="1217" w:type="pct"/>
            <w:shd w:val="clear" w:color="auto" w:fill="auto"/>
          </w:tcPr>
          <w:p w:rsidR="00D014FD" w:rsidRPr="0083616F" w:rsidRDefault="00D014FD" w:rsidP="001F16D0">
            <w:pPr>
              <w:spacing w:line="0" w:lineRule="atLeast"/>
              <w:ind w:left="124" w:hangingChars="62" w:hanging="124"/>
              <w:rPr>
                <w:rFonts w:eastAsia="SimSun"/>
                <w:color w:val="000000"/>
                <w:sz w:val="20"/>
                <w:szCs w:val="20"/>
                <w:lang w:eastAsia="zh-CN"/>
              </w:rPr>
            </w:pPr>
            <w:r w:rsidRPr="0083616F">
              <w:rPr>
                <w:rFonts w:eastAsia="新細明體"/>
                <w:color w:val="000000"/>
                <w:sz w:val="20"/>
                <w:szCs w:val="20"/>
              </w:rPr>
              <w:t>3</w:t>
            </w:r>
            <w:r w:rsidRPr="0083616F">
              <w:rPr>
                <w:rFonts w:eastAsia="SimSun"/>
                <w:color w:val="000000"/>
                <w:sz w:val="20"/>
                <w:szCs w:val="20"/>
                <w:lang w:eastAsia="zh-CN"/>
              </w:rPr>
              <w:t>. Specify the name of the investigator, which should be the same as that in the IRB Approval Letter.</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159"/>
          <w:jc w:val="center"/>
        </w:trPr>
        <w:tc>
          <w:tcPr>
            <w:tcW w:w="1217" w:type="pct"/>
            <w:shd w:val="clear" w:color="auto" w:fill="auto"/>
          </w:tcPr>
          <w:p w:rsidR="00D014FD" w:rsidRPr="0083616F" w:rsidRDefault="00D014FD" w:rsidP="001F16D0">
            <w:pPr>
              <w:spacing w:line="0" w:lineRule="atLeast"/>
              <w:ind w:left="124" w:hangingChars="62" w:hanging="124"/>
              <w:rPr>
                <w:rFonts w:eastAsia="SimSun"/>
                <w:color w:val="000000"/>
                <w:sz w:val="20"/>
                <w:szCs w:val="20"/>
                <w:lang w:eastAsia="zh-CN"/>
              </w:rPr>
            </w:pPr>
            <w:r w:rsidRPr="0083616F">
              <w:rPr>
                <w:rFonts w:eastAsia="新細明體"/>
                <w:color w:val="000000"/>
                <w:sz w:val="20"/>
                <w:szCs w:val="20"/>
              </w:rPr>
              <w:t>4</w:t>
            </w:r>
            <w:r w:rsidRPr="0083616F">
              <w:rPr>
                <w:rFonts w:eastAsia="SimSun"/>
                <w:color w:val="000000"/>
                <w:sz w:val="20"/>
                <w:szCs w:val="20"/>
                <w:lang w:eastAsia="zh-CN"/>
              </w:rPr>
              <w:t>. Nurse practitioner or assistants have been provided by the Hospital’s Clinical Trial Service Center.</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15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5. This project is a drug clinical trial: Phase ____</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507"/>
          <w:jc w:val="center"/>
        </w:trPr>
        <w:tc>
          <w:tcPr>
            <w:tcW w:w="1217" w:type="pct"/>
            <w:shd w:val="clear" w:color="auto" w:fill="auto"/>
          </w:tcPr>
          <w:p w:rsidR="00D014FD" w:rsidRPr="0083616F" w:rsidRDefault="00D014FD" w:rsidP="001F16D0">
            <w:pPr>
              <w:spacing w:line="0" w:lineRule="atLeast"/>
              <w:ind w:left="124" w:hangingChars="62" w:hanging="124"/>
              <w:rPr>
                <w:color w:val="000000"/>
                <w:sz w:val="20"/>
                <w:szCs w:val="20"/>
              </w:rPr>
            </w:pPr>
            <w:r w:rsidRPr="0083616F">
              <w:rPr>
                <w:rFonts w:eastAsia="新細明體"/>
                <w:color w:val="000000"/>
                <w:sz w:val="20"/>
                <w:szCs w:val="20"/>
              </w:rPr>
              <w:t>6</w:t>
            </w:r>
            <w:r w:rsidRPr="0083616F">
              <w:rPr>
                <w:rFonts w:eastAsia="SimSun"/>
                <w:color w:val="000000"/>
                <w:sz w:val="20"/>
                <w:szCs w:val="20"/>
                <w:lang w:eastAsia="zh-CN"/>
              </w:rPr>
              <w:t>. This project is an observational experiment, instead of an interventional one, and uses such experiment types as medical record retrospect, questionnaire surveys, etc.</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87"/>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7.The experiment subject matter of this project is “food/specific nutrient/cosmetic/commodity available for sale through open channels”</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87"/>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8. This experiment has collected any biological samples (or already has agreed to a treatment method in the Protocol).</w:t>
            </w:r>
          </w:p>
        </w:tc>
        <w:tc>
          <w:tcPr>
            <w:tcW w:w="286" w:type="pct"/>
            <w:shd w:val="clear" w:color="auto" w:fill="auto"/>
          </w:tcPr>
          <w:p w:rsidR="00D014FD" w:rsidRPr="0083616F" w:rsidRDefault="00D014FD" w:rsidP="001F16D0">
            <w:pPr>
              <w:spacing w:line="0" w:lineRule="atLeast"/>
              <w:rPr>
                <w:color w:val="000000"/>
                <w:sz w:val="20"/>
                <w:szCs w:val="20"/>
              </w:rPr>
            </w:pPr>
          </w:p>
        </w:tc>
        <w:tc>
          <w:tcPr>
            <w:tcW w:w="365" w:type="pct"/>
            <w:shd w:val="clear" w:color="auto" w:fill="auto"/>
          </w:tcPr>
          <w:p w:rsidR="00D014FD" w:rsidRPr="0083616F" w:rsidRDefault="00D014FD" w:rsidP="001F16D0">
            <w:pPr>
              <w:spacing w:line="0" w:lineRule="atLeast"/>
              <w:rPr>
                <w:color w:val="000000"/>
                <w:sz w:val="20"/>
                <w:szCs w:val="20"/>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135"/>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9. This experiment does not need approval from the Ministry of Health and Welfare.</w:t>
            </w:r>
          </w:p>
        </w:tc>
        <w:tc>
          <w:tcPr>
            <w:tcW w:w="286" w:type="pct"/>
            <w:shd w:val="clear" w:color="auto" w:fill="auto"/>
          </w:tcPr>
          <w:p w:rsidR="00D014FD" w:rsidRPr="0083616F" w:rsidRDefault="00D014FD" w:rsidP="001F16D0">
            <w:pPr>
              <w:spacing w:line="0" w:lineRule="atLeast"/>
              <w:rPr>
                <w:color w:val="000000"/>
                <w:sz w:val="20"/>
                <w:szCs w:val="20"/>
              </w:rPr>
            </w:pPr>
            <w:r w:rsidRPr="0083616F">
              <w:rPr>
                <w:rFonts w:eastAsia="SimSun"/>
                <w:color w:val="000000"/>
                <w:sz w:val="20"/>
                <w:szCs w:val="20"/>
                <w:lang w:eastAsia="zh-CN"/>
              </w:rPr>
              <w:t>---</w:t>
            </w:r>
          </w:p>
        </w:tc>
        <w:tc>
          <w:tcPr>
            <w:tcW w:w="365" w:type="pct"/>
            <w:shd w:val="clear" w:color="auto" w:fill="auto"/>
          </w:tcPr>
          <w:p w:rsidR="00D014FD" w:rsidRPr="0083616F" w:rsidRDefault="00D014FD" w:rsidP="001F16D0">
            <w:pPr>
              <w:spacing w:line="0" w:lineRule="atLeast"/>
              <w:rPr>
                <w:color w:val="000000"/>
                <w:sz w:val="20"/>
                <w:szCs w:val="20"/>
              </w:rPr>
            </w:pPr>
            <w:r w:rsidRPr="0083616F">
              <w:rPr>
                <w:rFonts w:eastAsia="SimSun"/>
                <w:color w:val="000000"/>
                <w:sz w:val="20"/>
                <w:szCs w:val="20"/>
                <w:lang w:eastAsia="zh-CN"/>
              </w:rPr>
              <w:t>---</w:t>
            </w: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10. This experiment has not appointed CRO for implementation.</w:t>
            </w:r>
          </w:p>
        </w:tc>
        <w:tc>
          <w:tcPr>
            <w:tcW w:w="286" w:type="pct"/>
            <w:shd w:val="clear" w:color="auto" w:fill="auto"/>
          </w:tcPr>
          <w:p w:rsidR="00D014FD" w:rsidRPr="0083616F" w:rsidRDefault="00D014FD" w:rsidP="001F16D0">
            <w:pPr>
              <w:spacing w:line="0" w:lineRule="atLeast"/>
              <w:rPr>
                <w:color w:val="000000"/>
                <w:sz w:val="20"/>
                <w:szCs w:val="20"/>
              </w:rPr>
            </w:pPr>
            <w:r w:rsidRPr="0083616F">
              <w:rPr>
                <w:rFonts w:eastAsia="SimSun"/>
                <w:color w:val="000000"/>
                <w:sz w:val="20"/>
                <w:szCs w:val="20"/>
                <w:lang w:eastAsia="zh-CN"/>
              </w:rPr>
              <w:t>---</w:t>
            </w:r>
          </w:p>
        </w:tc>
        <w:tc>
          <w:tcPr>
            <w:tcW w:w="365" w:type="pct"/>
            <w:shd w:val="clear" w:color="auto" w:fill="auto"/>
          </w:tcPr>
          <w:p w:rsidR="00D014FD" w:rsidRPr="0083616F" w:rsidRDefault="00D014FD" w:rsidP="001F16D0">
            <w:pPr>
              <w:spacing w:line="0" w:lineRule="atLeast"/>
              <w:rPr>
                <w:color w:val="000000"/>
                <w:sz w:val="20"/>
                <w:szCs w:val="20"/>
              </w:rPr>
            </w:pPr>
            <w:r w:rsidRPr="0083616F">
              <w:rPr>
                <w:rFonts w:eastAsia="SimSun"/>
                <w:color w:val="000000"/>
                <w:sz w:val="20"/>
                <w:szCs w:val="20"/>
                <w:lang w:eastAsia="zh-CN"/>
              </w:rPr>
              <w:t>---</w:t>
            </w: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11. The ownership of intellectual property rights is reasonable.</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r w:rsidRPr="0083616F">
              <w:rPr>
                <w:rFonts w:eastAsia="SimSun"/>
                <w:color w:val="000000"/>
                <w:sz w:val="20"/>
                <w:szCs w:val="20"/>
                <w:lang w:eastAsia="zh-CN"/>
              </w:rPr>
              <w:t>---</w:t>
            </w: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r w:rsidRPr="0083616F">
              <w:rPr>
                <w:rFonts w:eastAsia="SimSun"/>
                <w:color w:val="000000"/>
                <w:sz w:val="20"/>
                <w:szCs w:val="20"/>
                <w:lang w:eastAsia="zh-CN"/>
              </w:rPr>
              <w:t>---</w:t>
            </w: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rPr>
            </w:pPr>
            <w:r w:rsidRPr="0083616F">
              <w:rPr>
                <w:rFonts w:eastAsia="新細明體"/>
                <w:color w:val="000000"/>
                <w:sz w:val="20"/>
                <w:szCs w:val="20"/>
              </w:rPr>
              <w:t>12.Other matters agreements (1)~(6):</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SimSun"/>
                <w:color w:val="000000"/>
                <w:sz w:val="20"/>
                <w:szCs w:val="20"/>
                <w:lang w:eastAsia="zh-CN"/>
              </w:rPr>
            </w:pPr>
            <w:r w:rsidRPr="0083616F">
              <w:rPr>
                <w:color w:val="000000"/>
                <w:sz w:val="20"/>
                <w:szCs w:val="20"/>
              </w:rPr>
              <w:t xml:space="preserve">(1)In case of overpayment, SPONSOR shall coordinate to carry out the refund of overpayment as required by Party A. In respect of residual funds upon termination of Protocol, </w:t>
            </w:r>
            <w:r w:rsidRPr="0083616F">
              <w:rPr>
                <w:color w:val="000000"/>
                <w:sz w:val="20"/>
                <w:szCs w:val="20"/>
              </w:rPr>
              <w:lastRenderedPageBreak/>
              <w:t>SPONSOR shall complete the application for refund within one year after closing IRB, in case of overdue application, Institution may not accept the refund application.</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color w:val="000000"/>
                <w:sz w:val="20"/>
                <w:szCs w:val="20"/>
              </w:rPr>
            </w:pPr>
            <w:r w:rsidRPr="0083616F">
              <w:rPr>
                <w:color w:val="000000"/>
                <w:sz w:val="20"/>
                <w:szCs w:val="20"/>
              </w:rPr>
              <w:lastRenderedPageBreak/>
              <w:t>(2)During the execution period of this Protocol, if the Institution needs the assistance of SPONSOR to provide necessary personnel (personnel shall be recruited by SPONSOR or shall be handled by CRO or SMO as appointed by SPONSOR), essential research consumables, drugs and other related items due to research need, SPONSOR shall do its best to cooperate.</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SimSun"/>
                <w:color w:val="000000"/>
                <w:sz w:val="20"/>
                <w:szCs w:val="20"/>
                <w:lang w:eastAsia="zh-CN"/>
              </w:rPr>
            </w:pPr>
            <w:r w:rsidRPr="0083616F">
              <w:rPr>
                <w:color w:val="000000"/>
                <w:sz w:val="20"/>
                <w:szCs w:val="20"/>
              </w:rPr>
              <w:t>(3)</w:t>
            </w:r>
            <w:r w:rsidRPr="0083616F">
              <w:rPr>
                <w:color w:val="000000"/>
              </w:rPr>
              <w:t xml:space="preserve"> </w:t>
            </w:r>
            <w:r w:rsidRPr="0083616F">
              <w:rPr>
                <w:color w:val="000000"/>
                <w:sz w:val="20"/>
                <w:szCs w:val="20"/>
              </w:rPr>
              <w:t>Institution and Principal Investigator agree that SPONSOR, Ethics Committee and regulatory authority may, through prior arrangement, examine relevant materials and facilities during the business hours, SPONSOR shall inform Institution and Principal Investigator one week in advance on the purpose of examination, visitors, specific case in examination and necessary documents, besides, SPONSOR shall comply with the medical record reading regulations of the Institution.</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rFonts w:eastAsia="SimSun"/>
                <w:color w:val="000000"/>
                <w:sz w:val="20"/>
                <w:szCs w:val="20"/>
                <w:lang w:eastAsia="zh-CN"/>
              </w:rPr>
            </w:pPr>
            <w:r w:rsidRPr="0083616F">
              <w:rPr>
                <w:color w:val="000000"/>
                <w:sz w:val="20"/>
                <w:szCs w:val="20"/>
              </w:rPr>
              <w:t>(4)</w:t>
            </w:r>
            <w:r w:rsidRPr="0083616F">
              <w:rPr>
                <w:color w:val="000000"/>
              </w:rPr>
              <w:t xml:space="preserve"> </w:t>
            </w:r>
            <w:r w:rsidRPr="0083616F">
              <w:rPr>
                <w:color w:val="000000"/>
                <w:sz w:val="20"/>
                <w:szCs w:val="20"/>
              </w:rPr>
              <w:t xml:space="preserve">Market listed instruments and equipment are acceptable to be donated or borrowed by the experiment delegator and shall be numbered by the experiment institute and included in Party A’s fixed asset management. Unlisted instruments and equipment may not be donated or borrowed by the experiment delegator and shall be handled in accordance with the experiment institute’s borrowing rules. Furthermore, the </w:t>
            </w:r>
            <w:r w:rsidRPr="0083616F">
              <w:rPr>
                <w:color w:val="000000"/>
                <w:sz w:val="20"/>
                <w:szCs w:val="20"/>
              </w:rPr>
              <w:lastRenderedPageBreak/>
              <w:t>experiment delegator shall be responsible for regular maintenance, repair and expenses in relation to the medicinal materials, as well as for presenting repair records to the experiment institute for review and safekeeping.</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color w:val="000000"/>
                <w:sz w:val="20"/>
                <w:szCs w:val="20"/>
              </w:rPr>
            </w:pPr>
            <w:r w:rsidRPr="0083616F">
              <w:rPr>
                <w:color w:val="000000"/>
                <w:sz w:val="20"/>
                <w:szCs w:val="20"/>
              </w:rPr>
              <w:lastRenderedPageBreak/>
              <w:t>(5)Materials cannot be provided to the Subject for use pursuant to the provisions of laws and regulations and Protocol or due to exceeding the service life; SPONSOR shall recycle them within sixty days after informed by Institution, in case of delay, Institution may send them to SPONSOR through “recipient paid” express delivery, and relevant risks in the course of delivery shall be borne by SPONSOR.</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3616F" w:rsidRDefault="00D014FD" w:rsidP="001F16D0">
            <w:pPr>
              <w:spacing w:line="0" w:lineRule="atLeast"/>
              <w:ind w:left="124" w:hangingChars="62" w:hanging="124"/>
              <w:rPr>
                <w:color w:val="000000"/>
                <w:sz w:val="20"/>
                <w:szCs w:val="20"/>
              </w:rPr>
            </w:pPr>
            <w:r w:rsidRPr="0083616F">
              <w:rPr>
                <w:rFonts w:eastAsia="新細明體"/>
                <w:color w:val="000000"/>
                <w:sz w:val="20"/>
                <w:szCs w:val="20"/>
              </w:rPr>
              <w:t>(6) Implementation costs of the Protocol are specified in the Contract.</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83616F" w:rsidTr="001F16D0">
        <w:trPr>
          <w:trHeight w:val="269"/>
          <w:jc w:val="center"/>
        </w:trPr>
        <w:tc>
          <w:tcPr>
            <w:tcW w:w="1217" w:type="pct"/>
            <w:shd w:val="clear" w:color="auto" w:fill="auto"/>
          </w:tcPr>
          <w:p w:rsidR="00D014FD" w:rsidRPr="00844370" w:rsidRDefault="00D014FD" w:rsidP="001F16D0">
            <w:pPr>
              <w:spacing w:line="0" w:lineRule="atLeast"/>
              <w:ind w:left="124" w:hangingChars="62" w:hanging="124"/>
              <w:rPr>
                <w:rFonts w:eastAsia="新細明體"/>
                <w:color w:val="FF0000"/>
                <w:sz w:val="20"/>
                <w:szCs w:val="20"/>
              </w:rPr>
            </w:pPr>
            <w:r w:rsidRPr="00844370">
              <w:rPr>
                <w:rFonts w:eastAsia="新細明體" w:hint="eastAsia"/>
                <w:color w:val="FF0000"/>
                <w:sz w:val="20"/>
                <w:szCs w:val="20"/>
                <w:shd w:val="pct15" w:color="auto" w:fill="FFFFFF"/>
              </w:rPr>
              <w:t>(7)</w:t>
            </w:r>
            <w:r w:rsidRPr="00844370">
              <w:rPr>
                <w:color w:val="FF0000"/>
                <w:shd w:val="pct15" w:color="auto" w:fill="FFFFFF"/>
              </w:rPr>
              <w:t xml:space="preserve"> </w:t>
            </w:r>
            <w:r w:rsidRPr="00844370">
              <w:rPr>
                <w:rFonts w:eastAsia="新細明體"/>
                <w:color w:val="FF0000"/>
                <w:sz w:val="20"/>
                <w:szCs w:val="20"/>
                <w:shd w:val="pct15" w:color="auto" w:fill="FFFFFF"/>
              </w:rPr>
              <w:t xml:space="preserve">The compensation object in the contract must be consistent with the </w:t>
            </w:r>
            <w:r w:rsidRPr="00844370">
              <w:rPr>
                <w:rFonts w:eastAsia="新細明體" w:hint="eastAsia"/>
                <w:color w:val="FF0000"/>
                <w:sz w:val="20"/>
                <w:szCs w:val="20"/>
                <w:shd w:val="pct15" w:color="auto" w:fill="FFFFFF"/>
              </w:rPr>
              <w:t xml:space="preserve">inform </w:t>
            </w:r>
            <w:r w:rsidRPr="00844370">
              <w:rPr>
                <w:rFonts w:eastAsia="新細明體"/>
                <w:color w:val="FF0000"/>
                <w:sz w:val="20"/>
                <w:szCs w:val="20"/>
                <w:shd w:val="pct15" w:color="auto" w:fill="FFFFFF"/>
              </w:rPr>
              <w:t>consent</w:t>
            </w:r>
            <w:r w:rsidRPr="00844370">
              <w:rPr>
                <w:rFonts w:eastAsia="新細明體" w:hint="eastAsia"/>
                <w:color w:val="FF0000"/>
                <w:sz w:val="20"/>
                <w:szCs w:val="20"/>
                <w:shd w:val="pct15" w:color="auto" w:fill="FFFFFF"/>
              </w:rPr>
              <w:t>.</w:t>
            </w:r>
          </w:p>
        </w:tc>
        <w:tc>
          <w:tcPr>
            <w:tcW w:w="286"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365" w:type="pct"/>
            <w:shd w:val="clear" w:color="auto" w:fill="auto"/>
          </w:tcPr>
          <w:p w:rsidR="00D014FD" w:rsidRPr="0083616F" w:rsidRDefault="00D014FD" w:rsidP="001F16D0">
            <w:pPr>
              <w:spacing w:line="0" w:lineRule="atLeast"/>
              <w:rPr>
                <w:rFonts w:eastAsia="SimSun"/>
                <w:color w:val="000000"/>
                <w:sz w:val="20"/>
                <w:szCs w:val="20"/>
                <w:lang w:eastAsia="zh-CN"/>
              </w:rPr>
            </w:pPr>
          </w:p>
        </w:tc>
        <w:tc>
          <w:tcPr>
            <w:tcW w:w="649" w:type="pct"/>
            <w:shd w:val="clear" w:color="auto" w:fill="auto"/>
          </w:tcPr>
          <w:p w:rsidR="00D014FD" w:rsidRPr="0083616F" w:rsidRDefault="00D014FD" w:rsidP="001F16D0">
            <w:pPr>
              <w:spacing w:line="0" w:lineRule="atLeast"/>
              <w:rPr>
                <w:color w:val="000000"/>
                <w:sz w:val="20"/>
                <w:szCs w:val="20"/>
              </w:rPr>
            </w:pPr>
          </w:p>
        </w:tc>
        <w:tc>
          <w:tcPr>
            <w:tcW w:w="650" w:type="pct"/>
            <w:shd w:val="clear" w:color="auto" w:fill="auto"/>
          </w:tcPr>
          <w:p w:rsidR="00D014FD" w:rsidRPr="0083616F" w:rsidRDefault="00D014FD" w:rsidP="001F16D0">
            <w:pPr>
              <w:spacing w:line="0" w:lineRule="atLeast"/>
              <w:rPr>
                <w:color w:val="000000"/>
                <w:sz w:val="20"/>
                <w:szCs w:val="20"/>
              </w:rPr>
            </w:pPr>
          </w:p>
        </w:tc>
        <w:tc>
          <w:tcPr>
            <w:tcW w:w="544" w:type="pct"/>
            <w:shd w:val="clear" w:color="auto" w:fill="auto"/>
          </w:tcPr>
          <w:p w:rsidR="00D014FD" w:rsidRPr="0083616F" w:rsidRDefault="00D014FD" w:rsidP="001F16D0">
            <w:pPr>
              <w:spacing w:line="0" w:lineRule="atLeast"/>
              <w:rPr>
                <w:color w:val="000000"/>
                <w:sz w:val="20"/>
                <w:szCs w:val="20"/>
              </w:rPr>
            </w:pPr>
          </w:p>
        </w:tc>
        <w:tc>
          <w:tcPr>
            <w:tcW w:w="676" w:type="pct"/>
            <w:shd w:val="clear" w:color="auto" w:fill="auto"/>
          </w:tcPr>
          <w:p w:rsidR="00D014FD" w:rsidRPr="0083616F" w:rsidRDefault="00D014FD" w:rsidP="001F16D0">
            <w:pPr>
              <w:spacing w:line="0" w:lineRule="atLeast"/>
              <w:rPr>
                <w:color w:val="000000"/>
                <w:sz w:val="20"/>
                <w:szCs w:val="20"/>
              </w:rPr>
            </w:pPr>
          </w:p>
        </w:tc>
        <w:tc>
          <w:tcPr>
            <w:tcW w:w="610" w:type="pct"/>
            <w:shd w:val="clear" w:color="auto" w:fill="auto"/>
          </w:tcPr>
          <w:p w:rsidR="00D014FD" w:rsidRPr="0083616F" w:rsidRDefault="00D014FD" w:rsidP="001F16D0">
            <w:pPr>
              <w:spacing w:line="0" w:lineRule="atLeast"/>
              <w:rPr>
                <w:color w:val="000000"/>
                <w:sz w:val="20"/>
                <w:szCs w:val="20"/>
              </w:rPr>
            </w:pPr>
          </w:p>
        </w:tc>
      </w:tr>
      <w:tr w:rsidR="00D014FD" w:rsidRPr="00C868F5" w:rsidTr="001F16D0">
        <w:trPr>
          <w:trHeight w:val="275"/>
          <w:jc w:val="center"/>
        </w:trPr>
        <w:tc>
          <w:tcPr>
            <w:tcW w:w="5000" w:type="pct"/>
            <w:gridSpan w:val="8"/>
            <w:shd w:val="clear" w:color="auto" w:fill="auto"/>
          </w:tcPr>
          <w:p w:rsidR="00D014FD" w:rsidRPr="00C868F5" w:rsidRDefault="00D014FD" w:rsidP="001F16D0">
            <w:pPr>
              <w:spacing w:line="0" w:lineRule="atLeast"/>
              <w:rPr>
                <w:sz w:val="20"/>
                <w:szCs w:val="20"/>
              </w:rPr>
            </w:pPr>
            <w:r w:rsidRPr="00C868F5">
              <w:rPr>
                <w:sz w:val="20"/>
                <w:szCs w:val="20"/>
              </w:rPr>
              <w:t xml:space="preserve">*** </w:t>
            </w:r>
            <w:r w:rsidRPr="00C868F5">
              <w:rPr>
                <w:rFonts w:eastAsia="SimSun"/>
                <w:sz w:val="20"/>
                <w:szCs w:val="20"/>
                <w:lang w:eastAsia="zh-CN"/>
              </w:rPr>
              <w:t xml:space="preserve">Specify subject protection </w:t>
            </w:r>
            <w:r w:rsidRPr="00C868F5">
              <w:rPr>
                <w:sz w:val="20"/>
                <w:szCs w:val="20"/>
              </w:rPr>
              <w:t>regulations</w:t>
            </w:r>
            <w:r w:rsidRPr="00C868F5">
              <w:rPr>
                <w:rFonts w:eastAsia="SimSun"/>
                <w:sz w:val="20"/>
                <w:szCs w:val="20"/>
                <w:lang w:eastAsia="zh-CN"/>
              </w:rPr>
              <w:t xml:space="preserve"> (which shall be examined by medical experts):</w:t>
            </w: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266" w:hangingChars="133" w:hanging="266"/>
              <w:rPr>
                <w:rFonts w:eastAsia="SimSun"/>
                <w:sz w:val="20"/>
                <w:szCs w:val="20"/>
                <w:lang w:eastAsia="zh-CN"/>
              </w:rPr>
            </w:pPr>
            <w:r w:rsidRPr="00C868F5">
              <w:rPr>
                <w:sz w:val="20"/>
                <w:szCs w:val="20"/>
              </w:rPr>
              <w:t>13.</w:t>
            </w:r>
            <w:r w:rsidRPr="00C868F5">
              <w:rPr>
                <w:rFonts w:eastAsia="SimSun"/>
                <w:sz w:val="20"/>
                <w:szCs w:val="20"/>
                <w:lang w:eastAsia="zh-CN"/>
              </w:rPr>
              <w:t>Subject protection regulation:</w:t>
            </w:r>
          </w:p>
        </w:tc>
        <w:tc>
          <w:tcPr>
            <w:tcW w:w="3783" w:type="pct"/>
            <w:gridSpan w:val="7"/>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t xml:space="preserve">(1)For potential research-related injury, the arrangements for medical care, including who will provide care and who is </w:t>
            </w:r>
            <w:r w:rsidRPr="00C868F5">
              <w:rPr>
                <w:sz w:val="20"/>
                <w:szCs w:val="20"/>
              </w:rPr>
              <w:t>responsible</w:t>
            </w:r>
            <w:r w:rsidRPr="00C868F5">
              <w:rPr>
                <w:rFonts w:eastAsia="SimSun"/>
                <w:sz w:val="20"/>
                <w:szCs w:val="20"/>
                <w:lang w:eastAsia="zh-CN"/>
              </w:rPr>
              <w:t xml:space="preserve"> to pay for it, should be defined before the research starts.</w:t>
            </w:r>
            <w:r w:rsidRPr="00C868F5">
              <w:rPr>
                <w:rFonts w:eastAsia="SimSun"/>
                <w:color w:val="FF0000"/>
                <w:sz w:val="20"/>
                <w:szCs w:val="20"/>
                <w:lang w:eastAsia="zh-CN"/>
              </w:rPr>
              <w:t xml:space="preserve"> </w:t>
            </w:r>
            <w:r w:rsidRPr="00C868F5">
              <w:rPr>
                <w:rFonts w:eastAsia="SimSun"/>
                <w:sz w:val="20"/>
                <w:szCs w:val="20"/>
                <w:lang w:eastAsia="zh-CN"/>
              </w:rPr>
              <w:t>(AAHRPP 1.8 A)</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t xml:space="preserve">(2)In studies where Sponsors conduct research site monitoring visits or conduct </w:t>
            </w:r>
            <w:r w:rsidRPr="00C868F5">
              <w:rPr>
                <w:sz w:val="20"/>
                <w:szCs w:val="20"/>
              </w:rPr>
              <w:t>monitoring</w:t>
            </w:r>
            <w:r w:rsidRPr="00C868F5">
              <w:rPr>
                <w:rFonts w:eastAsia="SimSun"/>
                <w:sz w:val="20"/>
                <w:szCs w:val="20"/>
                <w:lang w:eastAsia="zh-CN"/>
              </w:rPr>
              <w:t xml:space="preserve"> activities remotely, the Sponsor should promptly reports to the </w:t>
            </w:r>
            <w:proofErr w:type="spellStart"/>
            <w:r w:rsidRPr="00C868F5">
              <w:rPr>
                <w:rFonts w:eastAsia="SimSun"/>
                <w:sz w:val="20"/>
                <w:szCs w:val="20"/>
                <w:lang w:eastAsia="zh-CN"/>
              </w:rPr>
              <w:t>the</w:t>
            </w:r>
            <w:proofErr w:type="spellEnd"/>
            <w:r w:rsidRPr="00C868F5">
              <w:rPr>
                <w:rFonts w:eastAsia="SimSun"/>
                <w:sz w:val="20"/>
                <w:szCs w:val="20"/>
                <w:lang w:eastAsia="zh-CN"/>
              </w:rPr>
              <w:t xml:space="preserve"> IRB and Principal Investigator of the Chang Gung Memorial Hospital any findings that could affect the safety of participants or influence the conduct of the study. (AAHRPP 1.8 B)</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lastRenderedPageBreak/>
              <w:t xml:space="preserve">(3)When the Sponsor, or its agents, has the responsibility for data and safety monitoring, the Sponsor should provide the reports from data and safety monitoring to the Principal Investigator who forwards them to the IRB and Principal Investigator of the Chang Gung </w:t>
            </w:r>
            <w:r w:rsidRPr="0083616F">
              <w:rPr>
                <w:rFonts w:eastAsia="SimSun"/>
                <w:color w:val="000000"/>
                <w:sz w:val="20"/>
                <w:szCs w:val="20"/>
                <w:lang w:eastAsia="zh-CN"/>
              </w:rPr>
              <w:t xml:space="preserve">Memorial Hospital within the time specified by Institution or IRB. </w:t>
            </w:r>
            <w:r w:rsidRPr="00C868F5">
              <w:rPr>
                <w:rFonts w:eastAsia="SimSun"/>
                <w:sz w:val="20"/>
                <w:szCs w:val="20"/>
                <w:lang w:eastAsia="zh-CN"/>
              </w:rPr>
              <w:t>(AAHRPP 1.8 C)</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t xml:space="preserve">(4) </w:t>
            </w:r>
            <w:r w:rsidRPr="00C868F5">
              <w:rPr>
                <w:sz w:val="20"/>
                <w:szCs w:val="20"/>
              </w:rPr>
              <w:t xml:space="preserve">Before initiating research, the Organization has a written agreement with the Sponsor about plans for disseminating findings from the research and the roles that </w:t>
            </w:r>
            <w:proofErr w:type="spellStart"/>
            <w:r w:rsidRPr="00C868F5">
              <w:rPr>
                <w:sz w:val="20"/>
                <w:szCs w:val="20"/>
              </w:rPr>
              <w:t>Researchs</w:t>
            </w:r>
            <w:proofErr w:type="spellEnd"/>
            <w:r w:rsidRPr="00C868F5">
              <w:rPr>
                <w:sz w:val="20"/>
                <w:szCs w:val="20"/>
              </w:rPr>
              <w:t xml:space="preserve"> and Sponsors will play in the publication or disclosure of results. </w:t>
            </w:r>
            <w:r w:rsidRPr="00C868F5">
              <w:rPr>
                <w:rFonts w:eastAsia="SimSun"/>
                <w:sz w:val="20"/>
                <w:szCs w:val="20"/>
                <w:lang w:eastAsia="zh-CN"/>
              </w:rPr>
              <w:t>(AAHRPP 1.8 D)</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t>(</w:t>
            </w:r>
            <w:r w:rsidRPr="00C868F5">
              <w:rPr>
                <w:sz w:val="20"/>
                <w:szCs w:val="20"/>
              </w:rPr>
              <w:t>5</w:t>
            </w:r>
            <w:r w:rsidRPr="00C868F5">
              <w:rPr>
                <w:rFonts w:eastAsia="SimSun"/>
                <w:sz w:val="20"/>
                <w:szCs w:val="20"/>
                <w:lang w:eastAsia="zh-CN"/>
              </w:rPr>
              <w:t>) When findings emerge after a research study within 2 years has ended that directly affect the safety of past participants and were not anticipated at the time the study was designed or conducted, the Sponsor should communicate findings to the IRB and Principal Investigator of the Chang Gung Memorial Hospital by an official letter in order to consider informing participants. (AAHRPP 1.8 E)</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t>(</w:t>
            </w:r>
            <w:r w:rsidRPr="00C868F5">
              <w:rPr>
                <w:sz w:val="20"/>
                <w:szCs w:val="20"/>
              </w:rPr>
              <w:t>6</w:t>
            </w:r>
            <w:r w:rsidRPr="00C868F5">
              <w:rPr>
                <w:rFonts w:eastAsia="SimSun"/>
                <w:sz w:val="20"/>
                <w:szCs w:val="20"/>
                <w:lang w:eastAsia="zh-CN"/>
              </w:rPr>
              <w:t xml:space="preserve">)If SPONSOR has authorizes other Clinical Research Organization (CRO) to execute this clinical trials, or SPONSOR has been authorized to execute this </w:t>
            </w:r>
            <w:r w:rsidRPr="00C868F5">
              <w:rPr>
                <w:sz w:val="20"/>
                <w:szCs w:val="20"/>
              </w:rPr>
              <w:t>clinical</w:t>
            </w:r>
            <w:r w:rsidRPr="00C868F5">
              <w:rPr>
                <w:rFonts w:eastAsia="SimSun"/>
                <w:sz w:val="20"/>
                <w:szCs w:val="20"/>
                <w:lang w:eastAsia="zh-CN"/>
              </w:rPr>
              <w:t xml:space="preserve"> trials, SPONSOR shall attach the Power of Attorney of the authorizing CRO. Regarding the final responsibility for maintaining the quality and completeness of the Study data, SPONSOR shall still be held responsible. (JCIA HRP3.1)</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269"/>
          <w:jc w:val="center"/>
        </w:trPr>
        <w:tc>
          <w:tcPr>
            <w:tcW w:w="1217" w:type="pct"/>
            <w:shd w:val="clear" w:color="auto" w:fill="auto"/>
          </w:tcPr>
          <w:p w:rsidR="00D014FD" w:rsidRPr="00C868F5" w:rsidRDefault="00D014FD" w:rsidP="001F16D0">
            <w:pPr>
              <w:spacing w:line="0" w:lineRule="atLeast"/>
              <w:ind w:left="124" w:hangingChars="62" w:hanging="124"/>
              <w:rPr>
                <w:rFonts w:eastAsia="SimSun"/>
                <w:sz w:val="20"/>
                <w:szCs w:val="20"/>
                <w:lang w:eastAsia="zh-CN"/>
              </w:rPr>
            </w:pPr>
            <w:r w:rsidRPr="00C868F5">
              <w:rPr>
                <w:rFonts w:eastAsia="SimSun"/>
                <w:sz w:val="20"/>
                <w:szCs w:val="20"/>
                <w:lang w:eastAsia="zh-CN"/>
              </w:rPr>
              <w:lastRenderedPageBreak/>
              <w:t>(</w:t>
            </w:r>
            <w:r w:rsidRPr="00C868F5">
              <w:rPr>
                <w:sz w:val="20"/>
                <w:szCs w:val="20"/>
              </w:rPr>
              <w:t>7</w:t>
            </w:r>
            <w:r w:rsidRPr="00C868F5">
              <w:rPr>
                <w:rFonts w:eastAsia="SimSun"/>
                <w:sz w:val="20"/>
                <w:szCs w:val="20"/>
                <w:lang w:eastAsia="zh-CN"/>
              </w:rPr>
              <w:t xml:space="preserve">)The sponsor ensures that the research data are reliable </w:t>
            </w:r>
            <w:r w:rsidRPr="00C868F5">
              <w:rPr>
                <w:sz w:val="20"/>
                <w:szCs w:val="20"/>
              </w:rPr>
              <w:t>and</w:t>
            </w:r>
            <w:r w:rsidRPr="00C868F5">
              <w:rPr>
                <w:rFonts w:eastAsia="SimSun"/>
                <w:sz w:val="20"/>
                <w:szCs w:val="20"/>
                <w:lang w:eastAsia="zh-CN"/>
              </w:rPr>
              <w:t xml:space="preserve"> valid and the results and reporting are statistically accurate, ethical, and unbiased. (JCIA HRP3)</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jc w:val="center"/>
        </w:trPr>
        <w:tc>
          <w:tcPr>
            <w:tcW w:w="1217" w:type="pct"/>
            <w:vMerge w:val="restart"/>
            <w:shd w:val="clear" w:color="auto" w:fill="auto"/>
          </w:tcPr>
          <w:p w:rsidR="00D014FD" w:rsidRPr="00C868F5" w:rsidRDefault="00D014FD" w:rsidP="001F16D0">
            <w:pPr>
              <w:spacing w:line="0" w:lineRule="atLeast"/>
              <w:jc w:val="center"/>
              <w:rPr>
                <w:sz w:val="20"/>
                <w:szCs w:val="20"/>
              </w:rPr>
            </w:pPr>
            <w:r w:rsidRPr="00C868F5">
              <w:rPr>
                <w:sz w:val="20"/>
                <w:szCs w:val="20"/>
              </w:rPr>
              <w:t>Contractual Provisions</w:t>
            </w:r>
          </w:p>
        </w:tc>
        <w:tc>
          <w:tcPr>
            <w:tcW w:w="1301" w:type="pct"/>
            <w:gridSpan w:val="3"/>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Deliverer</w:t>
            </w:r>
          </w:p>
        </w:tc>
        <w:tc>
          <w:tcPr>
            <w:tcW w:w="2481" w:type="pct"/>
            <w:gridSpan w:val="4"/>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Examined by the Legal Service Group</w:t>
            </w:r>
          </w:p>
        </w:tc>
      </w:tr>
      <w:tr w:rsidR="00D014FD" w:rsidRPr="00C868F5" w:rsidTr="001F16D0">
        <w:trPr>
          <w:trHeight w:val="240"/>
          <w:jc w:val="center"/>
        </w:trPr>
        <w:tc>
          <w:tcPr>
            <w:tcW w:w="1217" w:type="pct"/>
            <w:vMerge/>
            <w:shd w:val="clear" w:color="auto" w:fill="auto"/>
          </w:tcPr>
          <w:p w:rsidR="00D014FD" w:rsidRPr="00C868F5" w:rsidRDefault="00D014FD" w:rsidP="001F16D0">
            <w:pPr>
              <w:spacing w:line="0" w:lineRule="atLeast"/>
              <w:jc w:val="center"/>
              <w:rPr>
                <w:sz w:val="20"/>
                <w:szCs w:val="20"/>
              </w:rPr>
            </w:pPr>
          </w:p>
        </w:tc>
        <w:tc>
          <w:tcPr>
            <w:tcW w:w="286" w:type="pct"/>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Page</w:t>
            </w:r>
          </w:p>
        </w:tc>
        <w:tc>
          <w:tcPr>
            <w:tcW w:w="365" w:type="pct"/>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Article</w:t>
            </w:r>
          </w:p>
        </w:tc>
        <w:tc>
          <w:tcPr>
            <w:tcW w:w="649" w:type="pct"/>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Delivery Notice</w:t>
            </w:r>
          </w:p>
        </w:tc>
        <w:tc>
          <w:tcPr>
            <w:tcW w:w="650" w:type="pct"/>
            <w:shd w:val="clear" w:color="auto" w:fill="auto"/>
          </w:tcPr>
          <w:p w:rsidR="00D014FD" w:rsidRPr="00C868F5" w:rsidRDefault="00D014FD" w:rsidP="001F16D0">
            <w:pPr>
              <w:spacing w:line="0" w:lineRule="atLeast"/>
              <w:jc w:val="center"/>
              <w:rPr>
                <w:rFonts w:eastAsia="SimSun"/>
                <w:sz w:val="20"/>
                <w:szCs w:val="20"/>
                <w:lang w:eastAsia="zh-CN"/>
              </w:rPr>
            </w:pPr>
            <w:r w:rsidRPr="00C868F5">
              <w:rPr>
                <w:rFonts w:eastAsia="SimSun"/>
                <w:sz w:val="20"/>
                <w:szCs w:val="20"/>
                <w:lang w:eastAsia="zh-CN"/>
              </w:rPr>
              <w:t>Receipt Notice</w:t>
            </w:r>
          </w:p>
        </w:tc>
        <w:tc>
          <w:tcPr>
            <w:tcW w:w="544" w:type="pct"/>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Conformity</w:t>
            </w:r>
          </w:p>
        </w:tc>
        <w:tc>
          <w:tcPr>
            <w:tcW w:w="676" w:type="pct"/>
            <w:shd w:val="clear" w:color="auto" w:fill="auto"/>
          </w:tcPr>
          <w:p w:rsidR="00D014FD" w:rsidRPr="00C868F5" w:rsidRDefault="00D014FD" w:rsidP="001F16D0">
            <w:pPr>
              <w:spacing w:line="0" w:lineRule="atLeast"/>
              <w:jc w:val="center"/>
              <w:rPr>
                <w:rFonts w:eastAsia="SimSun"/>
                <w:sz w:val="20"/>
                <w:szCs w:val="20"/>
                <w:lang w:eastAsia="zh-CN"/>
              </w:rPr>
            </w:pPr>
            <w:r w:rsidRPr="00C868F5">
              <w:rPr>
                <w:rFonts w:eastAsia="SimSun"/>
                <w:sz w:val="20"/>
                <w:szCs w:val="20"/>
                <w:lang w:eastAsia="zh-CN"/>
              </w:rPr>
              <w:t>Inconformity</w:t>
            </w:r>
          </w:p>
        </w:tc>
        <w:tc>
          <w:tcPr>
            <w:tcW w:w="610" w:type="pct"/>
            <w:shd w:val="clear" w:color="auto" w:fill="auto"/>
          </w:tcPr>
          <w:p w:rsidR="00D014FD" w:rsidRPr="00C868F5" w:rsidRDefault="00D014FD" w:rsidP="001F16D0">
            <w:pPr>
              <w:spacing w:line="0" w:lineRule="atLeast"/>
              <w:jc w:val="center"/>
              <w:rPr>
                <w:sz w:val="20"/>
                <w:szCs w:val="20"/>
              </w:rPr>
            </w:pPr>
            <w:r w:rsidRPr="00C868F5">
              <w:rPr>
                <w:rFonts w:eastAsia="SimSun"/>
                <w:sz w:val="20"/>
                <w:szCs w:val="20"/>
                <w:lang w:eastAsia="zh-CN"/>
              </w:rPr>
              <w:t>NA</w:t>
            </w:r>
          </w:p>
        </w:tc>
      </w:tr>
      <w:tr w:rsidR="00D014FD" w:rsidRPr="00C868F5" w:rsidTr="001F16D0">
        <w:trPr>
          <w:jc w:val="center"/>
        </w:trPr>
        <w:tc>
          <w:tcPr>
            <w:tcW w:w="1217" w:type="pct"/>
            <w:shd w:val="clear" w:color="auto" w:fill="auto"/>
          </w:tcPr>
          <w:p w:rsidR="00D014FD" w:rsidRPr="00C868F5" w:rsidRDefault="00D014FD" w:rsidP="001F16D0">
            <w:pPr>
              <w:spacing w:line="0" w:lineRule="atLeast"/>
              <w:ind w:left="124" w:hangingChars="62" w:hanging="124"/>
              <w:rPr>
                <w:rFonts w:eastAsia="新細明體"/>
                <w:sz w:val="20"/>
                <w:szCs w:val="20"/>
              </w:rPr>
            </w:pPr>
            <w:r w:rsidRPr="00C868F5">
              <w:rPr>
                <w:rFonts w:eastAsia="新細明體"/>
                <w:sz w:val="20"/>
                <w:szCs w:val="20"/>
              </w:rPr>
              <w:t>14. Specify limits of academic publications.</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jc w:val="center"/>
        </w:trPr>
        <w:tc>
          <w:tcPr>
            <w:tcW w:w="1217" w:type="pct"/>
            <w:shd w:val="clear" w:color="auto" w:fill="auto"/>
          </w:tcPr>
          <w:p w:rsidR="00D014FD" w:rsidRPr="00C868F5" w:rsidRDefault="00D014FD" w:rsidP="001F16D0">
            <w:pPr>
              <w:spacing w:line="0" w:lineRule="atLeast"/>
              <w:ind w:left="124" w:hangingChars="62" w:hanging="124"/>
              <w:rPr>
                <w:rFonts w:eastAsia="新細明體"/>
                <w:sz w:val="20"/>
                <w:szCs w:val="20"/>
              </w:rPr>
            </w:pPr>
            <w:r w:rsidRPr="00C868F5">
              <w:rPr>
                <w:rFonts w:eastAsia="新細明體"/>
                <w:sz w:val="20"/>
                <w:szCs w:val="20"/>
              </w:rPr>
              <w:t>15. Specify research achievements allocation and right.</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379"/>
          <w:jc w:val="center"/>
        </w:trPr>
        <w:tc>
          <w:tcPr>
            <w:tcW w:w="1217" w:type="pct"/>
            <w:shd w:val="clear" w:color="auto" w:fill="auto"/>
          </w:tcPr>
          <w:p w:rsidR="00D014FD" w:rsidRPr="00C868F5" w:rsidRDefault="00D014FD" w:rsidP="001F16D0">
            <w:pPr>
              <w:spacing w:line="0" w:lineRule="atLeast"/>
              <w:ind w:left="124" w:hangingChars="62" w:hanging="124"/>
              <w:rPr>
                <w:rFonts w:eastAsia="新細明體"/>
                <w:sz w:val="20"/>
                <w:szCs w:val="20"/>
              </w:rPr>
            </w:pPr>
            <w:r w:rsidRPr="00C868F5">
              <w:rPr>
                <w:rFonts w:eastAsia="新細明體"/>
                <w:sz w:val="20"/>
                <w:szCs w:val="20"/>
              </w:rPr>
              <w:t>16.Specify relevant experiment liabilities for damage, which, except for those intentionally or accidentally caused by the experiment institute or investigators, shall be assumed by the experiment delegator.</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37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highlight w:val="yellow"/>
              </w:rPr>
            </w:pPr>
            <w:r w:rsidRPr="0083616F">
              <w:rPr>
                <w:rFonts w:eastAsia="新細明體"/>
                <w:color w:val="000000"/>
                <w:sz w:val="20"/>
                <w:szCs w:val="20"/>
              </w:rPr>
              <w:t>1</w:t>
            </w:r>
            <w:r>
              <w:rPr>
                <w:rFonts w:eastAsia="新細明體" w:hint="eastAsia"/>
                <w:color w:val="000000"/>
                <w:sz w:val="20"/>
                <w:szCs w:val="20"/>
              </w:rPr>
              <w:t>7</w:t>
            </w:r>
            <w:r w:rsidRPr="0083616F">
              <w:rPr>
                <w:rFonts w:eastAsia="新細明體"/>
                <w:color w:val="000000"/>
                <w:sz w:val="20"/>
                <w:szCs w:val="20"/>
              </w:rPr>
              <w:t>. The relevant agreement and compensation for the use of the name have been specified.</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379"/>
          <w:jc w:val="center"/>
        </w:trPr>
        <w:tc>
          <w:tcPr>
            <w:tcW w:w="1217" w:type="pct"/>
            <w:shd w:val="clear" w:color="auto" w:fill="auto"/>
          </w:tcPr>
          <w:p w:rsidR="00D014FD" w:rsidRPr="0083616F" w:rsidRDefault="00D014FD" w:rsidP="001F16D0">
            <w:pPr>
              <w:spacing w:line="0" w:lineRule="atLeast"/>
              <w:ind w:left="124" w:hangingChars="62" w:hanging="124"/>
              <w:rPr>
                <w:rFonts w:eastAsia="新細明體"/>
                <w:color w:val="000000"/>
                <w:sz w:val="20"/>
                <w:szCs w:val="20"/>
                <w:highlight w:val="yellow"/>
              </w:rPr>
            </w:pPr>
            <w:r>
              <w:rPr>
                <w:rFonts w:eastAsia="新細明體" w:hint="eastAsia"/>
                <w:color w:val="000000"/>
                <w:sz w:val="20"/>
                <w:szCs w:val="20"/>
              </w:rPr>
              <w:t>18</w:t>
            </w:r>
            <w:r w:rsidRPr="0083616F">
              <w:rPr>
                <w:rFonts w:eastAsia="新細明體"/>
                <w:color w:val="000000"/>
                <w:sz w:val="20"/>
                <w:szCs w:val="20"/>
              </w:rPr>
              <w:t>. The Contract signatory of the Sponsor is the person in charge of the company, or the Letter of Authorization has been attached (after the manufacturer makes additions and corrections subsequently, it shall be confirmed by the Clinical Trial Center).</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r w:rsidR="00D014FD" w:rsidRPr="00C868F5" w:rsidTr="001F16D0">
        <w:trPr>
          <w:trHeight w:val="379"/>
          <w:jc w:val="center"/>
        </w:trPr>
        <w:tc>
          <w:tcPr>
            <w:tcW w:w="1217" w:type="pct"/>
            <w:shd w:val="clear" w:color="auto" w:fill="auto"/>
          </w:tcPr>
          <w:p w:rsidR="00D014FD" w:rsidRPr="00806BBC" w:rsidRDefault="00D014FD" w:rsidP="001F16D0">
            <w:pPr>
              <w:spacing w:line="0" w:lineRule="atLeast"/>
              <w:ind w:left="124" w:hangingChars="62" w:hanging="124"/>
              <w:rPr>
                <w:rFonts w:eastAsia="新細明體" w:hint="eastAsia"/>
                <w:color w:val="FF0000"/>
                <w:sz w:val="20"/>
                <w:szCs w:val="20"/>
              </w:rPr>
            </w:pPr>
            <w:r w:rsidRPr="00806BBC">
              <w:rPr>
                <w:rFonts w:eastAsia="新細明體" w:hint="eastAsia"/>
                <w:color w:val="FF0000"/>
                <w:sz w:val="20"/>
                <w:szCs w:val="20"/>
                <w:shd w:val="pct15" w:color="auto" w:fill="FFFFFF"/>
              </w:rPr>
              <w:t>19.Other:</w:t>
            </w:r>
          </w:p>
        </w:tc>
        <w:tc>
          <w:tcPr>
            <w:tcW w:w="286" w:type="pct"/>
            <w:shd w:val="clear" w:color="auto" w:fill="auto"/>
          </w:tcPr>
          <w:p w:rsidR="00D014FD" w:rsidRPr="00C868F5" w:rsidRDefault="00D014FD" w:rsidP="001F16D0">
            <w:pPr>
              <w:spacing w:line="0" w:lineRule="atLeast"/>
              <w:rPr>
                <w:sz w:val="20"/>
                <w:szCs w:val="20"/>
              </w:rPr>
            </w:pPr>
          </w:p>
        </w:tc>
        <w:tc>
          <w:tcPr>
            <w:tcW w:w="365" w:type="pct"/>
            <w:shd w:val="clear" w:color="auto" w:fill="auto"/>
          </w:tcPr>
          <w:p w:rsidR="00D014FD" w:rsidRPr="00C868F5" w:rsidRDefault="00D014FD" w:rsidP="001F16D0">
            <w:pPr>
              <w:spacing w:line="0" w:lineRule="atLeast"/>
              <w:rPr>
                <w:sz w:val="20"/>
                <w:szCs w:val="20"/>
              </w:rPr>
            </w:pPr>
          </w:p>
        </w:tc>
        <w:tc>
          <w:tcPr>
            <w:tcW w:w="649" w:type="pct"/>
            <w:shd w:val="clear" w:color="auto" w:fill="auto"/>
          </w:tcPr>
          <w:p w:rsidR="00D014FD" w:rsidRPr="00C868F5" w:rsidRDefault="00D014FD" w:rsidP="001F16D0">
            <w:pPr>
              <w:spacing w:line="0" w:lineRule="atLeast"/>
              <w:rPr>
                <w:sz w:val="20"/>
                <w:szCs w:val="20"/>
              </w:rPr>
            </w:pPr>
          </w:p>
        </w:tc>
        <w:tc>
          <w:tcPr>
            <w:tcW w:w="650" w:type="pct"/>
            <w:shd w:val="clear" w:color="auto" w:fill="auto"/>
          </w:tcPr>
          <w:p w:rsidR="00D014FD" w:rsidRPr="00C868F5" w:rsidRDefault="00D014FD" w:rsidP="001F16D0">
            <w:pPr>
              <w:spacing w:line="0" w:lineRule="atLeast"/>
              <w:rPr>
                <w:sz w:val="20"/>
                <w:szCs w:val="20"/>
              </w:rPr>
            </w:pPr>
          </w:p>
        </w:tc>
        <w:tc>
          <w:tcPr>
            <w:tcW w:w="544" w:type="pct"/>
            <w:shd w:val="clear" w:color="auto" w:fill="auto"/>
          </w:tcPr>
          <w:p w:rsidR="00D014FD" w:rsidRPr="00C868F5" w:rsidRDefault="00D014FD" w:rsidP="001F16D0">
            <w:pPr>
              <w:spacing w:line="0" w:lineRule="atLeast"/>
              <w:rPr>
                <w:sz w:val="20"/>
                <w:szCs w:val="20"/>
              </w:rPr>
            </w:pPr>
          </w:p>
        </w:tc>
        <w:tc>
          <w:tcPr>
            <w:tcW w:w="676" w:type="pct"/>
            <w:shd w:val="clear" w:color="auto" w:fill="auto"/>
          </w:tcPr>
          <w:p w:rsidR="00D014FD" w:rsidRPr="00C868F5" w:rsidRDefault="00D014FD" w:rsidP="001F16D0">
            <w:pPr>
              <w:spacing w:line="0" w:lineRule="atLeast"/>
              <w:rPr>
                <w:sz w:val="20"/>
                <w:szCs w:val="20"/>
              </w:rPr>
            </w:pPr>
          </w:p>
        </w:tc>
        <w:tc>
          <w:tcPr>
            <w:tcW w:w="610" w:type="pct"/>
            <w:shd w:val="clear" w:color="auto" w:fill="auto"/>
          </w:tcPr>
          <w:p w:rsidR="00D014FD" w:rsidRPr="00C868F5" w:rsidRDefault="00D014FD" w:rsidP="001F16D0">
            <w:pPr>
              <w:spacing w:line="0" w:lineRule="atLeast"/>
              <w:rPr>
                <w:sz w:val="20"/>
                <w:szCs w:val="20"/>
              </w:rPr>
            </w:pPr>
          </w:p>
        </w:tc>
      </w:tr>
    </w:tbl>
    <w:p w:rsidR="00D014FD" w:rsidRPr="00C868F5" w:rsidRDefault="00D014FD" w:rsidP="00D014FD">
      <w:pPr>
        <w:snapToGrid w:val="0"/>
        <w:spacing w:line="240" w:lineRule="atLeast"/>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8214995</wp:posOffset>
                </wp:positionV>
                <wp:extent cx="6391275" cy="638175"/>
                <wp:effectExtent l="0" t="3175"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4FD" w:rsidRPr="00C370A1" w:rsidRDefault="00D014FD" w:rsidP="00D014FD">
                            <w:pPr>
                              <w:pStyle w:val="a3"/>
                              <w:jc w:val="center"/>
                              <w:rPr>
                                <w:sz w:val="24"/>
                                <w:szCs w:val="24"/>
                              </w:rPr>
                            </w:pPr>
                            <w:proofErr w:type="spellStart"/>
                            <w:r w:rsidRPr="00632075">
                              <w:rPr>
                                <w:rFonts w:hAnsi="標楷體"/>
                                <w:sz w:val="24"/>
                                <w:szCs w:val="24"/>
                              </w:rPr>
                              <w:t>廠商贊助研究計畫</w:t>
                            </w:r>
                            <w:r>
                              <w:rPr>
                                <w:rFonts w:hAnsi="標楷體" w:hint="eastAsia"/>
                                <w:sz w:val="24"/>
                                <w:szCs w:val="24"/>
                              </w:rPr>
                              <w:t>作業</w:t>
                            </w:r>
                            <w:r w:rsidRPr="00632075">
                              <w:rPr>
                                <w:rFonts w:hAnsi="標楷體" w:hint="eastAsia"/>
                                <w:sz w:val="24"/>
                                <w:szCs w:val="24"/>
                              </w:rPr>
                              <w:t>準則</w:t>
                            </w:r>
                            <w:proofErr w:type="spellEnd"/>
                            <w:r>
                              <w:rPr>
                                <w:sz w:val="24"/>
                                <w:szCs w:val="24"/>
                              </w:rPr>
                              <w:t xml:space="preserve">        </w:t>
                            </w:r>
                            <w:r w:rsidRPr="00C370A1">
                              <w:rPr>
                                <w:sz w:val="24"/>
                                <w:szCs w:val="24"/>
                              </w:rPr>
                              <w:t xml:space="preserve">    </w:t>
                            </w:r>
                            <w:r>
                              <w:rPr>
                                <w:sz w:val="24"/>
                                <w:szCs w:val="24"/>
                              </w:rPr>
                              <w:t xml:space="preserve"> </w:t>
                            </w:r>
                            <w:r w:rsidRPr="00C370A1">
                              <w:rPr>
                                <w:sz w:val="24"/>
                                <w:szCs w:val="24"/>
                              </w:rPr>
                              <w:t xml:space="preserve">  </w:t>
                            </w:r>
                            <w:r>
                              <w:rPr>
                                <w:rFonts w:hint="eastAsia"/>
                                <w:sz w:val="24"/>
                                <w:szCs w:val="24"/>
                              </w:rPr>
                              <w:t>A-98</w:t>
                            </w:r>
                            <w:r w:rsidRPr="00C370A1">
                              <w:rPr>
                                <w:sz w:val="24"/>
                                <w:szCs w:val="24"/>
                              </w:rPr>
                              <w:t xml:space="preserve">            </w:t>
                            </w:r>
                            <w:r>
                              <w:rPr>
                                <w:sz w:val="24"/>
                                <w:szCs w:val="24"/>
                              </w:rPr>
                              <w:t>106</w:t>
                            </w:r>
                            <w:r>
                              <w:rPr>
                                <w:sz w:val="24"/>
                                <w:szCs w:val="24"/>
                              </w:rPr>
                              <w:t>年</w:t>
                            </w:r>
                            <w:r>
                              <w:rPr>
                                <w:sz w:val="24"/>
                                <w:szCs w:val="24"/>
                              </w:rPr>
                              <w:t>05</w:t>
                            </w:r>
                            <w:r>
                              <w:rPr>
                                <w:sz w:val="24"/>
                                <w:szCs w:val="24"/>
                              </w:rPr>
                              <w:t>月</w:t>
                            </w:r>
                            <w:r>
                              <w:rPr>
                                <w:sz w:val="24"/>
                                <w:szCs w:val="24"/>
                              </w:rPr>
                              <w:t>11</w:t>
                            </w:r>
                            <w:r>
                              <w:rPr>
                                <w:sz w:val="24"/>
                                <w:szCs w:val="24"/>
                              </w:rPr>
                              <w:t>日第</w:t>
                            </w:r>
                            <w:r>
                              <w:rPr>
                                <w:sz w:val="24"/>
                                <w:szCs w:val="24"/>
                              </w:rPr>
                              <w:t>10</w:t>
                            </w:r>
                            <w:r>
                              <w:rPr>
                                <w:sz w:val="24"/>
                                <w:szCs w:val="24"/>
                              </w:rPr>
                              <w:t>次修訂</w:t>
                            </w:r>
                          </w:p>
                          <w:p w:rsidR="00D014FD" w:rsidRPr="00347EE4" w:rsidRDefault="00D014FD" w:rsidP="00D014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3.45pt;margin-top:646.85pt;width:503.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" filled="f" stroked="f">
                <v:textbox>
                  <w:txbxContent>
                    <w:p w:rsidR="00D014FD" w:rsidRPr="00C370A1" w:rsidRDefault="00D014FD" w:rsidP="00D014FD">
                      <w:pPr>
                        <w:pStyle w:val="a3"/>
                        <w:jc w:val="center"/>
                        <w:rPr>
                          <w:sz w:val="24"/>
                          <w:szCs w:val="24"/>
                        </w:rPr>
                      </w:pPr>
                      <w:proofErr w:type="spellStart"/>
                      <w:r w:rsidRPr="00632075">
                        <w:rPr>
                          <w:rFonts w:hAnsi="標楷體"/>
                          <w:sz w:val="24"/>
                          <w:szCs w:val="24"/>
                        </w:rPr>
                        <w:t>廠商贊助研究計畫</w:t>
                      </w:r>
                      <w:r>
                        <w:rPr>
                          <w:rFonts w:hAnsi="標楷體" w:hint="eastAsia"/>
                          <w:sz w:val="24"/>
                          <w:szCs w:val="24"/>
                        </w:rPr>
                        <w:t>作業</w:t>
                      </w:r>
                      <w:r w:rsidRPr="00632075">
                        <w:rPr>
                          <w:rFonts w:hAnsi="標楷體" w:hint="eastAsia"/>
                          <w:sz w:val="24"/>
                          <w:szCs w:val="24"/>
                        </w:rPr>
                        <w:t>準則</w:t>
                      </w:r>
                      <w:proofErr w:type="spellEnd"/>
                      <w:r>
                        <w:rPr>
                          <w:sz w:val="24"/>
                          <w:szCs w:val="24"/>
                        </w:rPr>
                        <w:t xml:space="preserve">        </w:t>
                      </w:r>
                      <w:r w:rsidRPr="00C370A1">
                        <w:rPr>
                          <w:sz w:val="24"/>
                          <w:szCs w:val="24"/>
                        </w:rPr>
                        <w:t xml:space="preserve">    </w:t>
                      </w:r>
                      <w:r>
                        <w:rPr>
                          <w:sz w:val="24"/>
                          <w:szCs w:val="24"/>
                        </w:rPr>
                        <w:t xml:space="preserve"> </w:t>
                      </w:r>
                      <w:r w:rsidRPr="00C370A1">
                        <w:rPr>
                          <w:sz w:val="24"/>
                          <w:szCs w:val="24"/>
                        </w:rPr>
                        <w:t xml:space="preserve">  </w:t>
                      </w:r>
                      <w:r>
                        <w:rPr>
                          <w:rFonts w:hint="eastAsia"/>
                          <w:sz w:val="24"/>
                          <w:szCs w:val="24"/>
                        </w:rPr>
                        <w:t>A-98</w:t>
                      </w:r>
                      <w:r w:rsidRPr="00C370A1">
                        <w:rPr>
                          <w:sz w:val="24"/>
                          <w:szCs w:val="24"/>
                        </w:rPr>
                        <w:t xml:space="preserve">            </w:t>
                      </w:r>
                      <w:r>
                        <w:rPr>
                          <w:sz w:val="24"/>
                          <w:szCs w:val="24"/>
                        </w:rPr>
                        <w:t>106</w:t>
                      </w:r>
                      <w:r>
                        <w:rPr>
                          <w:sz w:val="24"/>
                          <w:szCs w:val="24"/>
                        </w:rPr>
                        <w:t>年</w:t>
                      </w:r>
                      <w:r>
                        <w:rPr>
                          <w:sz w:val="24"/>
                          <w:szCs w:val="24"/>
                        </w:rPr>
                        <w:t>05</w:t>
                      </w:r>
                      <w:r>
                        <w:rPr>
                          <w:sz w:val="24"/>
                          <w:szCs w:val="24"/>
                        </w:rPr>
                        <w:t>月</w:t>
                      </w:r>
                      <w:r>
                        <w:rPr>
                          <w:sz w:val="24"/>
                          <w:szCs w:val="24"/>
                        </w:rPr>
                        <w:t>11</w:t>
                      </w:r>
                      <w:r>
                        <w:rPr>
                          <w:sz w:val="24"/>
                          <w:szCs w:val="24"/>
                        </w:rPr>
                        <w:t>日第</w:t>
                      </w:r>
                      <w:r>
                        <w:rPr>
                          <w:sz w:val="24"/>
                          <w:szCs w:val="24"/>
                        </w:rPr>
                        <w:t>10</w:t>
                      </w:r>
                      <w:r>
                        <w:rPr>
                          <w:sz w:val="24"/>
                          <w:szCs w:val="24"/>
                        </w:rPr>
                        <w:t>次修訂</w:t>
                      </w:r>
                    </w:p>
                    <w:p w:rsidR="00D014FD" w:rsidRPr="00347EE4" w:rsidRDefault="00D014FD" w:rsidP="00D014FD">
                      <w:pPr>
                        <w:jc w:val="center"/>
                      </w:pPr>
                    </w:p>
                  </w:txbxContent>
                </v:textbox>
              </v:shape>
            </w:pict>
          </mc:Fallback>
        </mc:AlternateContent>
      </w:r>
    </w:p>
    <w:p w:rsidR="003C07E9" w:rsidRDefault="003C07E9">
      <w:bookmarkStart w:id="0" w:name="_GoBack"/>
      <w:bookmarkEnd w:id="0"/>
    </w:p>
    <w:sectPr w:rsidR="003C07E9" w:rsidSect="00D014FD">
      <w:pgSz w:w="11906" w:h="16838"/>
      <w:pgMar w:top="1440" w:right="99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FD"/>
    <w:rsid w:val="003C07E9"/>
    <w:rsid w:val="00D01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F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Pied de page1"/>
    <w:basedOn w:val="a"/>
    <w:link w:val="a4"/>
    <w:rsid w:val="00D014FD"/>
    <w:pPr>
      <w:tabs>
        <w:tab w:val="center" w:pos="4153"/>
        <w:tab w:val="right" w:pos="8306"/>
      </w:tabs>
      <w:snapToGrid w:val="0"/>
    </w:pPr>
    <w:rPr>
      <w:sz w:val="20"/>
      <w:szCs w:val="20"/>
      <w:lang w:val="x-none" w:eastAsia="x-none"/>
    </w:rPr>
  </w:style>
  <w:style w:type="character" w:customStyle="1" w:styleId="a4">
    <w:name w:val="頁尾 字元"/>
    <w:aliases w:val="Pied de page1 字元"/>
    <w:basedOn w:val="a0"/>
    <w:link w:val="a3"/>
    <w:rsid w:val="00D014FD"/>
    <w:rPr>
      <w:rFonts w:ascii="Times New Roman" w:eastAsia="標楷體"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F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Pied de page1"/>
    <w:basedOn w:val="a"/>
    <w:link w:val="a4"/>
    <w:rsid w:val="00D014FD"/>
    <w:pPr>
      <w:tabs>
        <w:tab w:val="center" w:pos="4153"/>
        <w:tab w:val="right" w:pos="8306"/>
      </w:tabs>
      <w:snapToGrid w:val="0"/>
    </w:pPr>
    <w:rPr>
      <w:sz w:val="20"/>
      <w:szCs w:val="20"/>
      <w:lang w:val="x-none" w:eastAsia="x-none"/>
    </w:rPr>
  </w:style>
  <w:style w:type="character" w:customStyle="1" w:styleId="a4">
    <w:name w:val="頁尾 字元"/>
    <w:aliases w:val="Pied de page1 字元"/>
    <w:basedOn w:val="a0"/>
    <w:link w:val="a3"/>
    <w:rsid w:val="00D014FD"/>
    <w:rPr>
      <w:rFonts w:ascii="Times New Roman" w:eastAsia="標楷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2021-12-10T05:45:00Z</dcterms:created>
  <dcterms:modified xsi:type="dcterms:W3CDTF">2021-12-10T05:45:00Z</dcterms:modified>
</cp:coreProperties>
</file>